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29-Cibersegurança e infra-estruturas críticas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Proteção de infra-estruturas críticas é o conjunto de meios e técnicas que proporcionam a segurança dos activos considerados essenciais para o bom funcionamento de funções críticas da sociedade, incluindo a cadeia de fornecimento, a saúde, a protecção, a segurança e o bem-estar económico e social da população. Essa proteção deve ter como pano de fundo um conjunto de ameaças no qual se inlcuem os ciberconflitos.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Infra-estruturas como por exemplo os serviços de saúde, as comunicações, o fornecimento de água e energia, a distribuição de alimentos, os serviços de emergência ou os serviços financeiros são consideradas áreas críticas em Portugal devido à sua importância para a segurança dos cidadãos, para a actividade económica e para o dia-a-dia da população.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Analisando os problemas que alguns países da União Europeia já enfrentaram a este nível e a forma como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os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tentam prevenir, verificamos que muitos deles têm reforçado os seus investimentos na segurança das suas infra-estruturas. O caso do ciberataque à Estónia, em 2007, é um exemplo bem estudado. Este país enfrentou uma série de ataques a sites de organizações como o parlamento, bancos, polícia e meios de comunicação, deixando os respetivos serviços indisponíveis para a população durante vários dias. O governo estónio atribuiu a responsabilidade dos ataques à Rússia, com quem o país estava envolvido numa disputa diplomática, mas a sua autoria nunca chegou a ser provada. Os especialistas de cibersegurança atribuem os incidentes a uma série de grupos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hackers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organizados. </w:t>
      </w:r>
    </w:p>
    <w:p w:rsidP="00000000" w:rsidRPr="00000000" w:rsidR="00000000" w:rsidDel="00000000" w:rsidRDefault="00000000">
      <w:pPr>
        <w:contextualSpacing w:val="0"/>
      </w:pPr>
      <w:bookmarkStart w:id="0" w:colFirst="0" w:name="h.6wbs1bdu704c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No sentido de promover a cibersegurança  a nível nacional, incluindo em sectores relativos a infra-estruturas críticas do país, nos últimos anos, o CERT.PT tem vindo a dinamizar uma rede nacional de CSIRTs (Rede de Equipas de Resposta a Incidentes de Segurança - uma espécie de bombeiros da Internet) que integra já cerca de 20 equipas de sectores importantes da sociedade como os prestadores de serviços de comunicações electrónicas, sectror energético e o sector financeiro. Partindo do principio de que é preciso trabalhar em rede para responder a ameaças organizadas na rede, o principal objectivo da Rede Nacional de CSIRTs é criar um ambiente de cooperação e assistência mútua no tratamento de incidentes e na partilha de boas práticas de segurança.</w:t>
      </w:r>
    </w:p>
    <w:p w:rsidP="00000000" w:rsidRPr="00000000" w:rsidR="00000000" w:rsidDel="00000000" w:rsidRDefault="00000000">
      <w:pPr>
        <w:contextualSpacing w:val="0"/>
      </w:pPr>
      <w:bookmarkStart w:id="1" w:colFirst="0" w:name="h.mc0uouo8zgfo" w:colLast="0"/>
      <w:bookmarkEnd w:id="1"/>
      <w:r w:rsidRPr="00000000" w:rsidR="00000000" w:rsidDel="00000000">
        <w:rPr>
          <w:rFonts w:cs="Verdana" w:hAnsi="Verdana" w:eastAsia="Verdana" w:ascii="Verdana"/>
          <w:rtl w:val="0"/>
        </w:rPr>
        <w:t xml:space="preserve">No seio desta rede foi desenvolvido um conjunto de instrumentos que permitem uma melhor coordenação da resposta a incidentes de segurança de grande dimensão, nomeadamente a definição de uma taxonomia comum, um formato para partilha de informação, mecanismos de comunicação segura e um conjunto de boas práticas de actuação para as tipologias de incidentes mais comuns. Outra responsabilidade dos membros desta rede é a disseminação de boas práticas sobre a utilização segura das TIC junto dos cidadãos.</w:t>
      </w:r>
    </w:p>
    <w:p w:rsidP="00000000" w:rsidRPr="00000000" w:rsidR="00000000" w:rsidDel="00000000" w:rsidRDefault="00000000">
      <w:pPr>
        <w:contextualSpacing w:val="0"/>
      </w:pPr>
      <w:bookmarkStart w:id="2" w:colFirst="0" w:name="h.bcagqfusz87d" w:colLast="0"/>
      <w:bookmarkEnd w:id="2"/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xx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contextualSpacing w:val="0"/>
      </w:pPr>
      <w:bookmarkStart w:id="3" w:colFirst="0" w:name="h.gjdgxs" w:colLast="0"/>
      <w:bookmarkEnd w:id="3"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29-Cibersegurança e infra-estruturas críticas - 2826 cOK.docx</dc:title>
</cp:coreProperties>
</file>