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27 - A importância do DNSSEC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after="0" w:line="240" w:befor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DNSSEC é o nome dado às extensões de segurança ao protocolo DNS (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Domain Name System) concebidas para proteger e autenticar o tráfego DNS. O protocolo DNS, basicamente, o que faz é traduzir endereços do tipo </w:t>
      </w:r>
      <w:hyperlink r:id="rId5">
        <w:r w:rsidRPr="00000000" w:rsidR="00000000" w:rsidDel="00000000">
          <w:rPr>
            <w:rFonts w:cs="Verdana" w:hAnsi="Verdana" w:eastAsia="Verdana" w:ascii="Verdana"/>
            <w:color w:val="1155cc"/>
            <w:u w:val="single"/>
            <w:rtl w:val="0"/>
          </w:rPr>
          <w:t xml:space="preserve">www.nome.pt</w:t>
        </w:r>
      </w:hyperlink>
      <w:r w:rsidRPr="00000000" w:rsidR="00000000" w:rsidDel="00000000">
        <w:rPr>
          <w:rFonts w:cs="Verdana" w:hAnsi="Verdana" w:eastAsia="Verdana" w:ascii="Verdana"/>
          <w:rtl w:val="0"/>
        </w:rPr>
        <w:t xml:space="preserve">, que são fáceis de memorizar e que escrevemos na barra de endereços do nosso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browser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,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num endereço numérico, o endereço IP ou “o número de telefone” do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site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a que se pretende aceder.</w:t>
      </w:r>
    </w:p>
    <w:p w:rsidP="00000000" w:rsidRPr="00000000" w:rsidR="00000000" w:rsidDel="00000000" w:rsidRDefault="00000000">
      <w:pPr>
        <w:spacing w:lineRule="auto" w:after="0" w:line="240" w:befor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mecanismos de segurança previstos no DNSSEC são complementares e transparentes para o utilizador, não interferindo com o normal funcionamento do protocolo DNS. O DNSSEC foi criado para responder às preocupação de segurança dos utilizadores nas transações eletrónicas e veio mitigar uma série de vulnerabilidades e de vetores de ataque bem conhecidos, nomeadamente: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240"/>
        <w:ind w:left="720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Supressão de fragilidades do protocolo DNS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Prevenção de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alguns 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ataques específicos (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man-in-the middle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cache poisoning)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Redução do risco de manipulação de informação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Reforço da fiabilidade do sistema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 sistema de nomes de domínio (DNS) é uma das ferramentas fundamentais para o funcionamento da Internet. Para além de permitir ao utilizador ignorar os endereços de IP, permite alterações desses endereços IP sem que o utilizador tenha que as conhecer para continuar a usar um serviço. O sistema DNS funciona um pouco como as nossas agendas telefónicas, que nos permitem seleccionar o nome de uma pessoa e ligar-lhe sem termos de conhecer de memória o seu número de telefone.</w:t>
      </w:r>
    </w:p>
    <w:p w:rsidP="00000000" w:rsidRPr="00000000" w:rsidR="00000000" w:rsidDel="00000000" w:rsidRDefault="00000000">
      <w:pPr>
        <w:spacing w:lineRule="auto" w:after="240" w:line="240" w:before="240"/>
        <w:contextualSpacing w:val="0"/>
      </w:pPr>
      <w:bookmarkStart w:id="0" w:colFirst="0" w:name="h.xehtoby7d0hc" w:colLast="0"/>
      <w:bookmarkEnd w:id="0"/>
      <w:r w:rsidRPr="00000000" w:rsidR="00000000" w:rsidDel="00000000">
        <w:rPr>
          <w:rFonts w:cs="Verdana" w:hAnsi="Verdana" w:eastAsia="Verdana" w:ascii="Verdana"/>
          <w:rtl w:val="0"/>
        </w:rPr>
        <w:t xml:space="preserve">A especificação inicial do DNS não contempla quaisquer políticas ou mecanismos de segurança para evitar ataques à resolução de nomes. O seu desenho consiste fundamentalmente e dá primazia a aspetos de eficácia, eficiência e escalabilidade. Por este facto, a especificação possui diversas vulnerabilidades de segurança, que têm vindo a ser exploradas ao longo dos anos.</w:t>
      </w:r>
    </w:p>
    <w:p w:rsidP="00000000" w:rsidRPr="00000000" w:rsidR="00000000" w:rsidDel="00000000" w:rsidRDefault="00000000">
      <w:pPr>
        <w:spacing w:lineRule="auto" w:after="240" w:line="240" w:before="240"/>
        <w:contextualSpacing w:val="0"/>
      </w:pPr>
      <w:bookmarkStart w:id="1" w:colFirst="0" w:name="h.5j16sencgqxm" w:colLast="0"/>
      <w:bookmarkEnd w:id="1"/>
      <w:r w:rsidRPr="00000000" w:rsidR="00000000" w:rsidDel="00000000">
        <w:rPr>
          <w:rFonts w:cs="Verdana" w:hAnsi="Verdana" w:eastAsia="Verdana" w:ascii="Verdana"/>
          <w:rtl w:val="0"/>
        </w:rPr>
        <w:t xml:space="preserve">O DNSSEC surgiu para assegurar a correta comunicação entre diferentes sistemas informáticos, procurando minimizar alguns riscos da navegação na Internet. Essa extensão tem por base a utilização de tecnologia de criptografia assimétrica, que assegura a autenticidade e a integridade da informação trocada entre servidores DNS e entre estes e as aplicações do utilizador.</w:t>
      </w:r>
    </w:p>
    <w:p w:rsidP="00000000" w:rsidRPr="00000000" w:rsidR="00000000" w:rsidDel="00000000" w:rsidRDefault="00000000">
      <w:pPr>
        <w:spacing w:lineRule="auto" w:after="240" w:line="240" w:before="240"/>
        <w:contextualSpacing w:val="0"/>
      </w:pPr>
      <w:bookmarkStart w:id="2" w:colFirst="0" w:name="h.9k51d74rt8sn" w:colLast="0"/>
      <w:bookmarkEnd w:id="2"/>
      <w:r w:rsidRPr="00000000" w:rsidR="00000000" w:rsidDel="00000000">
        <w:rPr>
          <w:rFonts w:cs="Verdana" w:hAnsi="Verdana" w:eastAsia="Verdana" w:ascii="Verdana"/>
          <w:rtl w:val="0"/>
        </w:rPr>
        <w:t xml:space="preserve">A autenticidade e integridade da informação trocada entre servidores DNS reduz drasticamente a probabilidade de ataques tais como 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man-in-the-middle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ou a intercepção de comunicações - usados em esquemas de roubo de identidade e fraude bancária-, o que resulta numa internet mais segura para os utilizadores.</w:t>
      </w:r>
    </w:p>
    <w:p w:rsidP="00000000" w:rsidRPr="00000000" w:rsidR="00000000" w:rsidDel="00000000" w:rsidRDefault="00000000">
      <w:pPr>
        <w:spacing w:lineRule="auto" w:after="240" w:line="240" w:before="240"/>
        <w:contextualSpacing w:val="0"/>
      </w:pPr>
      <w:bookmarkStart w:id="3" w:colFirst="0" w:name="h.gjdgxs" w:colLast="0"/>
      <w:bookmarkEnd w:id="3"/>
      <w:r w:rsidRPr="00000000" w:rsidR="00000000" w:rsidDel="00000000">
        <w:rPr>
          <w:rFonts w:cs="Verdana" w:hAnsi="Verdana" w:eastAsia="Verdana" w:ascii="Verdana"/>
          <w:rtl w:val="0"/>
        </w:rPr>
        <w:t xml:space="preserve">Vários países definiram já como obrigatório o uso desta tecnologia nos nomes internet dos sistemas informáticos do Estado e da Administração Pública. Em Portugal a adopção desta tecnologia tem sido muito lenta quer no sector público, quer no privado.</w:t>
      </w:r>
    </w:p>
    <w:p w:rsidP="00000000" w:rsidRPr="00000000" w:rsidR="00000000" w:rsidDel="00000000" w:rsidRDefault="00000000">
      <w:pPr>
        <w:spacing w:lineRule="auto" w:after="0" w:line="240" w:befor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Foto Ingram Publishing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spacing w:lineRule="auto" w:after="0" w:line="240" w:before="240"/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701" w:right="1701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www.nome.pt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27-Importância DNSSEC - 2735 c OK.docx</dc:title>
</cp:coreProperties>
</file>