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19-Diretiva quer combater o crime informático a nível europeu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 cibercriminalidade engloba desafios difíceis de ultrapassar para quem a combate. Um desses desafios consiste no facto de a cibercriminalidade ser quase sempre praticada a nível transnacional, o que exige uma coordenação internacional na sua prevenção, investigação e punição. Na União Europeia, uma diretiva recentemente aprovada pretende criar um enquadramento jurídico para aspetos que, em alguns Estados-membros, constituem ainda vazios legislativos.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documento visa ainda proporcionar meios transnacionais suplementares de combate ao cibercrime, passando por uma cooperação das forças policiais dos Estados-membros com os atores nacionais relevantes, bem como por um papel orientador da ENISA (Agência Europeia para a Segurança das Redes e Informação) na criação de boas práticas para implementação de legislação a nível Europeu, e ainda destacando a Europol e o seu European Cyber Crime Center (EC3) como centro coordenador de desenvolvimento de ferramentas de cooperação para as forças policiais.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 diretiva enumera quatro tipos de atividade maliciosa dirigida a sistemas de informação, que deverão ser criminalizados nos Estados-membros: acesso ilegal a sistemas, interferência ilegal em sistemas, interferência ilegal em dados e interceção ilegal. Estes crimes deverão ser sancionados com pena mínima de dois anos de prisão.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No domínio das “ferramentas utilizadas para cometer crimes”, esta diretiva cita dois tipos de ferramenta informática cuja produção, venda, utilização, obtenção ou disponibilização deve ser criminalizada: programas e códigos de acesso que sirvam para atacar sistemas de informação. Um requisito para a criminalização é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 intenção de cometer um crime.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Outras inovações prendem-se com a introdução do “roubo de identidade” como circunstância agravante, se tal for verificado no cometimento dos crimes citados. A diretiva prevê ainda a criação de centros de “report” nacionais, a funcionar 24/7, para atender queixas provenientes de congéneres de outros Estados-membros, e que devem obedecer a tempos de primeira resposta na ordem das 8 horas, em casos identificados como urgentes.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Por último, a diretiva determina que os Estados-membros devem desenvolver capacidades de produção de estatísticas relativas a estes crimes, designadamente discriminando o número de incidentes, processos judiciais instaurados e condenações.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Estados-membros devem transpor a diretiva para os respetivos ordenamentos jurídicos nacionais até ao dia 4 de Setembro de 2015.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Conheça o texto integral da Diretiva em</w:t>
      </w:r>
    </w:p>
    <w:p w:rsidP="00000000" w:rsidRPr="00000000" w:rsidR="00000000" w:rsidDel="00000000" w:rsidRDefault="00000000">
      <w:pPr>
        <w:spacing w:lineRule="auto" w:line="240"/>
        <w:contextualSpacing w:val="0"/>
      </w:pPr>
      <w:hyperlink r:id="rId5">
        <w:r w:rsidRPr="00000000" w:rsidR="00000000" w:rsidDel="00000000">
          <w:rPr>
            <w:rFonts w:cs="Verdana" w:hAnsi="Verdana" w:eastAsia="Verdana" w:ascii="Verdana"/>
            <w:color w:val="0000ff"/>
            <w:sz w:val="22"/>
            <w:u w:val="single"/>
            <w:rtl w:val="0"/>
          </w:rPr>
          <w:t xml:space="preserve">http://eur-lex.europa.eu/LexUriServ/LexUriServ.do?uri=OJ:L:2013:218:0008:0014:EN:PDF</w:t>
        </w:r>
      </w:hyperlink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sgzv0kbu87td" w:colLast="0"/>
      <w:bookmarkEnd w:id="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de xxx</w:t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  <w:hyperlink r:id="rId7">
        <w:r w:rsidRPr="00000000" w:rsidR="00000000" w:rsidDel="00000000">
          <w:rPr>
            <w:rtl w:val="0"/>
          </w:rPr>
        </w:r>
      </w:hyperlink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eur-lex.europa.eu/LexUriServ/LexUriServ.do?uri=OJ:L:2013:218:0008:0014:EN:PDF" Type="http://schemas.openxmlformats.org/officeDocument/2006/relationships/hyperlink" TargetMode="External" Id="rId6"/><Relationship Target="http://eur-lex.europa.eu/LexUriServ/LexUriServ.do?uri=OJ:L:2013:218:0008:0014:EN:PDF" Type="http://schemas.openxmlformats.org/officeDocument/2006/relationships/hyperlink" TargetMode="External" Id="rId5"/><Relationship Target="http://eur-lex.europa.eu/LexUriServ/LexUriServ.do?uri=OJ:L:2013:218:0008:0014:EN:PDF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19-Diretiva europeia-2478 c OK.docx</dc:title>
</cp:coreProperties>
</file>