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b w:val="1"/>
          <w:rtl w:val="0"/>
        </w:rPr>
        <w:t xml:space="preserve">O que é o cibercrime?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Autor: </w:t>
      </w:r>
      <w:r w:rsidRPr="00000000" w:rsidR="00000000" w:rsidDel="00000000">
        <w:rPr>
          <w:rFonts w:cs="Verdana" w:hAnsi="Verdana" w:eastAsia="Verdana" w:ascii="Verdana"/>
          <w:vertAlign w:val="superscript"/>
          <w:rtl w:val="0"/>
        </w:rPr>
        <w:t xml:space="preserve"> </w:t>
      </w:r>
      <w:r w:rsidRPr="00000000" w:rsidR="00000000" w:rsidDel="00000000">
        <w:rPr>
          <w:rFonts w:cs="Verdana" w:hAnsi="Verdana" w:eastAsia="Verdana" w:ascii="Verdana"/>
          <w:highlight w:val="white"/>
          <w:rtl w:val="0"/>
        </w:rPr>
        <w:t xml:space="preserve">C</w:t>
      </w: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ERT.PT- Serviço de Resposta a Incidentes de Segurança Informática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Em Novembro de 1991 o estudante do MIT Robert Morris foi condenado a três anos de cadeia com pena suspensa, convertida em 400 horas de serviço comunitário e uma multa de 10 mil dólares. Numa altura em que a Internet ainda era um domínio dos académicos, um pequeno génio como Morris havia criado o primeiro verme (um vírus informático com capacidade de propagação pela rede) digno desse nome e, com ele, fez colapsar uma boa parte da Internet. O ‘verme’ Morris foi o primeiro grande incidente de segurança informática e resultou na criação do primeiro e mais prestigiado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Computer Emergency Response Team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 mundial – o CERT/CC da Universidade de Carnegie Mellon, nos Estados Unidos.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O advento dos computadores pessoais, da Internet como mercadoria, e as alterações introduzidas por estes nas relações sociais, resultaram na centralização do papel das TIC nas vidas das pessoas. Com naturalidade começaram a surgir fenómenos de utilização das TIC no contexto das mais variadas acções tipificadas como crime.    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De facto, como está expresso na lei portuguesa número 109/2009, de 15 de Setembro, o cibercrime compreende os crimes em que o alvo são os sistemas informáticos, mas também os crimes convencionais realizados com recurso a dispositivos electrónicos e ainda aqueles em que, não sendo o computador o instrumento principal da actividade ilícita, o meio de realização de prova assume a forma digital. Por isto mesmo, a nova lei do cibercrime cria todo um conjunto de instrumentos de auxílio à investigação criminal e à produção de prova neste contexto.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Uma das características particulares do cibercrime é o seu caráter predominantemente transnacional. É frequente, por exemplo, na prática do crime de difamação, utilizar como veículo do acto ilícito principal um qualquer serviço de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blogs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 ou rede social sediado nos Estados Unidos, fazendo depender a investigação criminal de provas residentes nesse país. Ora, consciente desta situação, o mesmo diploma – por força da ratificação da convenção do cibercrime – estabelece um ponto de contacto nacional, dentro da Polícia Judiciária, para exercício de prestação de assistência imediata e cooperação internacional entre autoridades nacionais competentes para a investigação criminal.</w:t>
      </w:r>
    </w:p>
    <w:p w:rsidP="00000000" w:rsidRPr="00000000" w:rsidR="00000000" w:rsidDel="00000000" w:rsidRDefault="00000000">
      <w:pPr>
        <w:spacing w:lineRule="auto" w:line="240"/>
        <w:contextualSpacing w:val="0"/>
      </w:pPr>
      <w:bookmarkStart w:id="0" w:colFirst="0" w:name="h.gjdgxs" w:colLast="0"/>
      <w:bookmarkEnd w:id="0"/>
      <w:r w:rsidRPr="00000000" w:rsidR="00000000" w:rsidDel="00000000">
        <w:rPr>
          <w:rFonts w:cs="Verdana" w:hAnsi="Verdana" w:eastAsia="Verdana" w:ascii="Verdana"/>
          <w:rtl w:val="0"/>
        </w:rPr>
        <w:t xml:space="preserve">Mas isto não quer dizer que todos os crimes que encaixam na definição de cibercime sejam da responsabilidade da PJ. A competência da investigação criminal em Portugal encontra-se distribuída por várias entidades, desde a ASAE à PSP, pelo que, dependendo do tipo de crime em análise, a apresentação de queixa deverá ser feita junto da respectiva autoridade.</w:t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---------------------------------------------------------------------------</w:t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color w:val="494949"/>
          <w:highlight w:val="white"/>
          <w:rtl w:val="0"/>
        </w:rPr>
        <w:t xml:space="preserve">Mês Europeu da Cibersegurança</w:t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Este artigo é da autoria de especialistas do CERT.PT- Serviço de Resposta a Incidentes de Segurança Informática (www.cert.pt) da FCCN-Fundação de Computação Científica Nacional (www.fccn.pt/pt) e insere-se na campanha "Uma dica por dia" integrada no Mês Europeu da Cibersegurança, que tem lugar em Outubro de 2013.</w:t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O Mês Europeu da Cibersegurança é uma iniciativa da ENISA - Agência Europeia para a Segurança das Redes e Informação (www.enisa.europa.eu) e o seu objectivo é informar os utilizadores sobre a importância da segurança da informação, bem como demonstrar algumas medidas simples para proteger os seus dados.</w:t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----------------------------------------------------------------------------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rtl w:val="0"/>
        </w:rPr>
        <w:t xml:space="preserve">Nota aos editores da Imprensa regional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Os artigos da autoria dos técnicos do CERT.PT incluídos no </w:t>
      </w: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Mês Europeu da Cibersegurança, que tem lugar em Outubro de 2013</w:t>
      </w:r>
      <w:r w:rsidRPr="00000000" w:rsidR="00000000" w:rsidDel="00000000">
        <w:rPr>
          <w:rFonts w:cs="Verdana" w:hAnsi="Verdana" w:eastAsia="Verdana" w:ascii="Verdana"/>
          <w:color w:val="494949"/>
          <w:rtl w:val="0"/>
        </w:rPr>
        <w:t xml:space="preserve">, surgem no site da Ciência na Imprensa Regional numerados, de forma a permitir a sua mais fácil identificação. No entanto, eles são absolutamente independentes uns dos outros e podem ser publicados pelos órgãos de comunicação de forma avulsa.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------------------------------------------------------------------------------</w:t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Foto de Alphaspirit</w:t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(Existem ficheiros de imagem de mais alta resolução disponíveis para download)</w:t>
      </w:r>
    </w:p>
    <w:sectPr>
      <w:pgSz w:w="11906" w:h="16838"/>
      <w:pgMar w:left="1701" w:right="1701" w:top="1417" w:bottom="141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Calibri"/>
  <w:font w:name="Georgia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spacing w:lineRule="auto" w:after="200" w:line="276" w:before="0"/>
      <w:ind w:left="0" w:firstLine="0" w:right="0"/>
      <w:jc w:val="left"/>
    </w:pPr>
    <w:rPr>
      <w:rFonts w:cs="Calibri" w:hAnsi="Calibri" w:eastAsia="Calibri" w:ascii="Calibri"/>
      <w:b w:val="0"/>
      <w:i w:val="0"/>
      <w:smallCaps w:val="0"/>
      <w:strike w:val="0"/>
      <w:color w:val="000000"/>
      <w:sz w:val="22"/>
      <w:u w:val="none"/>
      <w:vertAlign w:val="baseline"/>
    </w:rPr>
  </w:style>
  <w:style w:styleId="Heading1" w:type="paragraph">
    <w:name w:val="heading 1"/>
    <w:basedOn w:val="Normal"/>
    <w:next w:val="Normal"/>
    <w:pPr>
      <w:spacing w:lineRule="auto" w:after="120" w:before="480"/>
      <w:contextualSpacing w:val="1"/>
    </w:pPr>
    <w:rPr>
      <w:b w:val="1"/>
      <w:sz w:val="48"/>
    </w:rPr>
  </w:style>
  <w:style w:styleId="Heading2" w:type="paragraph">
    <w:name w:val="heading 2"/>
    <w:basedOn w:val="Normal"/>
    <w:next w:val="Normal"/>
    <w:pPr>
      <w:spacing w:lineRule="auto" w:after="80" w:before="360"/>
      <w:contextualSpacing w:val="1"/>
    </w:pPr>
    <w:rPr>
      <w:b w:val="1"/>
      <w:sz w:val="36"/>
    </w:rPr>
  </w:style>
  <w:style w:styleId="Heading3" w:type="paragraph">
    <w:name w:val="heading 3"/>
    <w:basedOn w:val="Normal"/>
    <w:next w:val="Normal"/>
    <w:pPr>
      <w:spacing w:lineRule="auto" w:after="80" w:before="280"/>
      <w:contextualSpacing w:val="1"/>
    </w:pPr>
    <w:rPr>
      <w:b w:val="1"/>
      <w:sz w:val="28"/>
    </w:rPr>
  </w:style>
  <w:style w:styleId="Heading4" w:type="paragraph">
    <w:name w:val="heading 4"/>
    <w:basedOn w:val="Normal"/>
    <w:next w:val="Normal"/>
    <w:pPr>
      <w:spacing w:lineRule="auto" w:after="40" w:before="240"/>
      <w:contextualSpacing w:val="1"/>
    </w:pPr>
    <w:rPr>
      <w:b w:val="1"/>
      <w:sz w:val="24"/>
    </w:rPr>
  </w:style>
  <w:style w:styleId="Heading5" w:type="paragraph">
    <w:name w:val="heading 5"/>
    <w:basedOn w:val="Normal"/>
    <w:next w:val="Normal"/>
    <w:pPr>
      <w:spacing w:lineRule="auto" w:after="40" w:before="220"/>
      <w:contextualSpacing w:val="1"/>
    </w:pPr>
    <w:rPr>
      <w:b w:val="1"/>
      <w:sz w:val="22"/>
    </w:rPr>
  </w:style>
  <w:style w:styleId="Heading6" w:type="paragraph">
    <w:name w:val="heading 6"/>
    <w:basedOn w:val="Normal"/>
    <w:next w:val="Normal"/>
    <w:pPr>
      <w:spacing w:lineRule="auto" w:after="40" w:before="200"/>
      <w:contextualSpacing w:val="1"/>
    </w:pPr>
    <w:rPr>
      <w:b w:val="1"/>
      <w:sz w:val="20"/>
    </w:rPr>
  </w:style>
  <w:style w:styleId="Title" w:type="paragraph">
    <w:name w:val="Title"/>
    <w:basedOn w:val="Normal"/>
    <w:next w:val="Normal"/>
    <w:pPr>
      <w:spacing w:lineRule="auto" w:after="120" w:before="480"/>
      <w:contextualSpacing w:val="1"/>
    </w:pPr>
    <w:rPr>
      <w:b w:val="1"/>
      <w:sz w:val="72"/>
    </w:rPr>
  </w:style>
  <w:style w:styleId="Subtitle" w:type="paragraph">
    <w:name w:val="Subtitle"/>
    <w:basedOn w:val="Normal"/>
    <w:next w:val="Normal"/>
    <w:pPr>
      <w:spacing w:lineRule="auto" w:after="80" w:before="360"/>
      <w:contextualSpacing w:val="1"/>
    </w:pPr>
    <w:rPr>
      <w:rFonts w:cs="Georgia" w:hAnsi="Georgia" w:eastAsia="Georgia" w:ascii="Georgia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12-O que é o cibercrime-2585 c.docx</dc:title>
</cp:coreProperties>
</file>