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color w:val="4f81bd"/>
          <w:rtl w:val="0"/>
        </w:rPr>
        <w:t xml:space="preserve">Identificar uma mensagem de correio eletrónico fraudulenta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Sendo o correio eletrónico (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email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) dos serviços mais usados na Internet, este é também dos serviços mais usados por internautas com intuitos ilegais. O objetivo destes é aceder à sua informação pessoal, a passwords ou levá-lo a clicar em determinados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links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para poder vir a obter essa informação. 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Não sendo Portugal um dos alvos preferidos das redes internacionais que se dedicam a estas actividades, acontece que muitas das mensagens que servem de veículo a estes intuitos estão longe de ser perfeitas. O comum é encontrar uma mensagem cujo texto está escrito em mau português, contendo erros ortográficos, gramaticais, frases pouco coerentes ou termos brasileiros.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Por este tipo de fraude ter um tempo de vida curto, é normal ser-lhe solicitado que seja rápido na resposta ao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mail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ou que seja rápido em clicar num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link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Mesmo que a mensagem tenha um aspeto verosímil, deve olhar atentamente para o remetente, para validar a autenticidade da mensagem. Se não reconhece o remetente, se não parecer formar qualquer palavra/nome, ou se o remetente e a mensagem não parecerem ter qualquer relação, não responda. Se se tratar de uma mensagem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relacionada com uma situação interna da sua organização, verifique se reconhece 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email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e, caso tenha dúvidas, valide-o com o seu administrador de sistemas.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Se lhe solicitarem que clique num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link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por mais autêntica que a mensagem lhe possa parecer, nunca o faça sem antes passar com o rato sobre 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link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verificando de seguida no canto inferior esquerdo do seu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browser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para que endereço vai ser reencaminhado. Caso o domínio do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link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seja externo ao domínio da sua organização, reencaminhando-o para uma página fora desse domínio, não clique. Valide 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link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através do site </w:t>
      </w:r>
      <w:hyperlink r:id="rId5">
        <w:r w:rsidRPr="00000000" w:rsidR="00000000" w:rsidDel="00000000">
          <w:rPr>
            <w:rFonts w:cs="Verdana" w:hAnsi="Verdana" w:eastAsia="Verdana" w:ascii="Verdana"/>
            <w:color w:val="0000ff"/>
            <w:u w:val="single"/>
            <w:rtl w:val="0"/>
          </w:rPr>
          <w:t xml:space="preserve">https://www.virustotal.com/pt/#url</w:t>
        </w:r>
      </w:hyperlink>
      <w:r w:rsidRPr="00000000" w:rsidR="00000000" w:rsidDel="00000000">
        <w:rPr>
          <w:rFonts w:cs="Verdana" w:hAnsi="Verdana" w:eastAsia="Verdana" w:ascii="Verdana"/>
          <w:rtl w:val="0"/>
        </w:rPr>
        <w:t xml:space="preserve"> ou através de um contato do representante da suposta entidade remetente do email ou com o seu administrador de sistemas.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bancos nunca tratam de assuntos privados dos seus clientes por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email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por isso, caso receba uma suposta mensagem da sua entidade bancária, contate-a telefonicamente quanto antes.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As mensagens mais comuns deste tipo consistem em comunicar-lhe que é finalista de um concurso que o pode tornar milionáro, que existe um problema com a sua conta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email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que é necessário validar urgentemente os seus dados bancários, etc. 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Qualquer técnica é boa para tentar usurpar-lhe dados pessoais. Seja céptico.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/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/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/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/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/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de Selim Aksan</w:t>
      </w:r>
    </w:p>
    <w:p w:rsidP="00000000" w:rsidRPr="00000000" w:rsidR="00000000" w:rsidDel="00000000" w:rsidRDefault="00000000">
      <w:pPr>
        <w:ind w:left="15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drawing>
          <wp:inline distR="19050" distT="19050" distB="19050" distL="19050">
            <wp:extent cy="3599815" cx="540004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3599815" cx="540004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6"/><Relationship Target="https://www.virustotal.com/pt/#url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6-Correio Eletrónico Fraudulento-2358 caracteres.docx</dc:title>
</cp:coreProperties>
</file>