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B2" w:rsidRPr="00B76AEC" w:rsidRDefault="00B76AEC">
      <w:pPr>
        <w:rPr>
          <w:rStyle w:val="apple-converted-space"/>
          <w:rFonts w:ascii="Verdana" w:hAnsi="Verdana" w:cs="Calibri"/>
          <w:color w:val="222222"/>
          <w:sz w:val="24"/>
          <w:szCs w:val="24"/>
          <w:shd w:val="clear" w:color="auto" w:fill="FFFFFF"/>
        </w:rPr>
      </w:pPr>
      <w:r w:rsidRPr="00B76AEC">
        <w:rPr>
          <w:rFonts w:ascii="Verdana" w:hAnsi="Verdana" w:cs="Calibri"/>
          <w:b/>
          <w:bCs/>
          <w:color w:val="222222"/>
          <w:sz w:val="24"/>
          <w:szCs w:val="24"/>
          <w:shd w:val="clear" w:color="auto" w:fill="FFFFFF"/>
        </w:rPr>
        <w:t>Tolerância à malária através do controlo de ferro</w:t>
      </w:r>
      <w:r w:rsidRPr="00B76AEC">
        <w:rPr>
          <w:rStyle w:val="apple-converted-space"/>
          <w:rFonts w:ascii="Verdana" w:hAnsi="Verdana" w:cs="Arial"/>
          <w:color w:val="222222"/>
          <w:sz w:val="24"/>
          <w:szCs w:val="24"/>
          <w:shd w:val="clear" w:color="auto" w:fill="FFFFFF"/>
        </w:rPr>
        <w:t> </w:t>
      </w:r>
      <w:r w:rsidRPr="00B76AEC">
        <w:rPr>
          <w:rFonts w:ascii="Verdana" w:hAnsi="Verdana" w:cs="Arial"/>
          <w:color w:val="222222"/>
          <w:sz w:val="24"/>
          <w:szCs w:val="24"/>
        </w:rPr>
        <w:br/>
      </w:r>
      <w:r w:rsidRPr="00B76AEC">
        <w:rPr>
          <w:rFonts w:ascii="Verdana" w:hAnsi="Verdana" w:cs="Calibri"/>
          <w:color w:val="222222"/>
          <w:sz w:val="24"/>
          <w:szCs w:val="24"/>
          <w:shd w:val="clear" w:color="auto" w:fill="FFFFFF"/>
        </w:rPr>
        <w:t>Descoberto novo mecanismo que confere tolerância à malária</w:t>
      </w:r>
      <w:r w:rsidRPr="00B76AEC">
        <w:rPr>
          <w:rStyle w:val="apple-converted-space"/>
          <w:rFonts w:ascii="Verdana" w:hAnsi="Verdana" w:cs="Calibri"/>
          <w:color w:val="222222"/>
          <w:sz w:val="24"/>
          <w:szCs w:val="24"/>
          <w:shd w:val="clear" w:color="auto" w:fill="FFFFFF"/>
        </w:rPr>
        <w:t> </w:t>
      </w:r>
    </w:p>
    <w:p w:rsidR="00B76AEC" w:rsidRDefault="00B76AEC">
      <w:pPr>
        <w:rPr>
          <w:rStyle w:val="apple-converted-space"/>
          <w:rFonts w:ascii="Calibri" w:hAnsi="Calibri" w:cs="Calibri"/>
          <w:color w:val="222222"/>
          <w:shd w:val="clear" w:color="auto" w:fill="FFFFFF"/>
        </w:rPr>
      </w:pPr>
    </w:p>
    <w:p w:rsid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Aproximadamente metade da população mundial encontra-se em risco de sofrer de malária e de desenvolver uma forma severa e, muitas vezes, letal da doença. Num estudo publicado no último número da revista </w:t>
      </w:r>
      <w:proofErr w:type="spellStart"/>
      <w:r w:rsidRPr="00B76AEC">
        <w:rPr>
          <w:rFonts w:ascii="Verdana" w:eastAsia="Times New Roman" w:hAnsi="Verdana" w:cs="Arial"/>
          <w:i/>
          <w:iCs/>
          <w:color w:val="222222"/>
          <w:lang w:eastAsia="pt-PT"/>
        </w:rPr>
        <w:t>Cell</w:t>
      </w:r>
      <w:proofErr w:type="spellEnd"/>
      <w:r w:rsidRPr="00B76AEC">
        <w:rPr>
          <w:rFonts w:ascii="Verdana" w:eastAsia="Times New Roman" w:hAnsi="Verdana" w:cs="Arial"/>
          <w:i/>
          <w:iCs/>
          <w:color w:val="222222"/>
          <w:lang w:eastAsia="pt-PT"/>
        </w:rPr>
        <w:t xml:space="preserve"> </w:t>
      </w:r>
      <w:proofErr w:type="spellStart"/>
      <w:r w:rsidRPr="00B76AEC">
        <w:rPr>
          <w:rFonts w:ascii="Verdana" w:eastAsia="Times New Roman" w:hAnsi="Verdana" w:cs="Arial"/>
          <w:i/>
          <w:iCs/>
          <w:color w:val="222222"/>
          <w:lang w:eastAsia="pt-PT"/>
        </w:rPr>
        <w:t>Host</w:t>
      </w:r>
      <w:proofErr w:type="spellEnd"/>
      <w:r w:rsidRPr="00B76AEC">
        <w:rPr>
          <w:rFonts w:ascii="Verdana" w:eastAsia="Times New Roman" w:hAnsi="Verdana" w:cs="Arial"/>
          <w:i/>
          <w:iCs/>
          <w:color w:val="222222"/>
          <w:lang w:eastAsia="pt-PT"/>
        </w:rPr>
        <w:t xml:space="preserve"> &amp; Microbe</w:t>
      </w:r>
      <w:r w:rsidRPr="00B76AEC">
        <w:rPr>
          <w:rFonts w:ascii="Verdana" w:eastAsia="Times New Roman" w:hAnsi="Verdana" w:cs="Arial"/>
          <w:i/>
          <w:iCs/>
          <w:color w:val="222222"/>
          <w:vertAlign w:val="superscript"/>
          <w:lang w:eastAsia="pt-PT"/>
        </w:rPr>
        <w:t>1</w:t>
      </w:r>
      <w:r w:rsidRPr="00B76AEC">
        <w:rPr>
          <w:rFonts w:ascii="Verdana" w:eastAsia="Times New Roman" w:hAnsi="Verdana" w:cs="Arial"/>
          <w:color w:val="222222"/>
          <w:lang w:eastAsia="pt-PT"/>
        </w:rPr>
        <w:t>, Miguel Soares e o seu grupo (</w:t>
      </w:r>
      <w:hyperlink r:id="rId4" w:tgtFrame="_blank" w:history="1">
        <w:r w:rsidRPr="00B76AEC">
          <w:rPr>
            <w:rFonts w:ascii="Verdana" w:eastAsia="Times New Roman" w:hAnsi="Verdana" w:cs="Arial"/>
            <w:color w:val="1155CC"/>
            <w:u w:val="single"/>
            <w:lang w:eastAsia="pt-PT"/>
          </w:rPr>
          <w:t>http://www.igc.gulbenkian.pt/research/unit/43</w:t>
        </w:r>
      </w:hyperlink>
      <w:r w:rsidRPr="00B76AEC">
        <w:rPr>
          <w:rFonts w:ascii="Verdana" w:eastAsia="Times New Roman" w:hAnsi="Verdana" w:cs="Arial"/>
          <w:color w:val="222222"/>
          <w:lang w:eastAsia="pt-PT"/>
        </w:rPr>
        <w:t>) no Instituto Gulbenkian de Ciência (IGC) (</w:t>
      </w:r>
      <w:hyperlink r:id="rId5" w:tgtFrame="_blank" w:history="1">
        <w:r w:rsidRPr="00B76AEC">
          <w:rPr>
            <w:rFonts w:ascii="Verdana" w:eastAsia="Times New Roman" w:hAnsi="Verdana" w:cs="Arial"/>
            <w:color w:val="1155CC"/>
            <w:u w:val="single"/>
            <w:lang w:eastAsia="pt-PT"/>
          </w:rPr>
          <w:t>http://www.igc.gulbenkian.pt</w:t>
        </w:r>
      </w:hyperlink>
      <w:r w:rsidRPr="00B76AEC">
        <w:rPr>
          <w:rFonts w:ascii="Verdana" w:eastAsia="Times New Roman" w:hAnsi="Verdana" w:cs="Arial"/>
          <w:color w:val="222222"/>
          <w:lang w:eastAsia="pt-PT"/>
        </w:rPr>
        <w:t>) descobriram que o desenvolvimento de formas severas de malária pode ser prevenido por um simples mecanismo que controla a acumulação de ferro nos tecidos do organismo infetado. Os cientistas descobriram que a expressão de um gene que neutraliza o ferro dentro das células, designado por H</w:t>
      </w:r>
      <w:r w:rsidRPr="00B76AEC">
        <w:rPr>
          <w:rFonts w:ascii="Verdana" w:eastAsia="Times New Roman" w:hAnsi="Verdana" w:cs="Arial"/>
          <w:color w:val="222222"/>
          <w:lang w:eastAsia="pt-PT"/>
        </w:rPr>
        <w:noBreakHyphen/>
        <w:t xml:space="preserve">Ferritina, reduz o </w:t>
      </w:r>
      <w:proofErr w:type="gramStart"/>
      <w:r w:rsidRPr="00B76AEC">
        <w:rPr>
          <w:rFonts w:ascii="Verdana" w:eastAsia="Times New Roman" w:hAnsi="Verdana" w:cs="Arial"/>
          <w:color w:val="222222"/>
          <w:lang w:eastAsia="pt-PT"/>
        </w:rPr>
        <w:t>stress</w:t>
      </w:r>
      <w:proofErr w:type="gramEnd"/>
      <w:r w:rsidRPr="00B76AEC">
        <w:rPr>
          <w:rFonts w:ascii="Verdana" w:eastAsia="Times New Roman" w:hAnsi="Verdana" w:cs="Arial"/>
          <w:color w:val="222222"/>
          <w:lang w:eastAsia="pt-PT"/>
        </w:rPr>
        <w:t xml:space="preserve"> oxidativo prevenindo danos no tecido e morte do organismo infetado. Este mecanismo protetor pode servir como uma nova estratégia terapêutica contra a malária.</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A malária é uma doença causada por infeção com o parasita </w:t>
      </w:r>
      <w:proofErr w:type="spellStart"/>
      <w:r w:rsidRPr="00B76AEC">
        <w:rPr>
          <w:rFonts w:ascii="Verdana" w:eastAsia="Times New Roman" w:hAnsi="Verdana" w:cs="Arial"/>
          <w:i/>
          <w:iCs/>
          <w:color w:val="222222"/>
          <w:lang w:eastAsia="pt-PT"/>
        </w:rPr>
        <w:t>Plasmodium</w:t>
      </w:r>
      <w:proofErr w:type="spellEnd"/>
      <w:r w:rsidRPr="00B76AEC">
        <w:rPr>
          <w:rFonts w:ascii="Verdana" w:eastAsia="Times New Roman" w:hAnsi="Verdana" w:cs="Arial"/>
          <w:color w:val="222222"/>
          <w:lang w:eastAsia="pt-PT"/>
        </w:rPr>
        <w:t>. Uma vez infetados, os indivíduos ativam uma série de mecanismos de defesa que visam a eliminação do parasita. No entanto, estas estratégias não parecem ser totalmente eficientes em evitar as formas severas da doença e, eventualmente, a morte. Existe uma outra estratégia de defesa que confere tolerância à malária, reduzindo o grau de severidade da doença sem atingir o parasita, como demonstrado anteriormente por Miguel Soares e seus co</w:t>
      </w:r>
      <w:r>
        <w:rPr>
          <w:rFonts w:ascii="Verdana" w:eastAsia="Times New Roman" w:hAnsi="Verdana" w:cs="Arial"/>
          <w:color w:val="222222"/>
          <w:lang w:eastAsia="pt-PT"/>
        </w:rPr>
        <w:t>laboradores na revista Science</w:t>
      </w:r>
      <w:r w:rsidRPr="00B76AEC">
        <w:rPr>
          <w:rFonts w:ascii="Verdana" w:eastAsia="Times New Roman" w:hAnsi="Verdana" w:cs="Arial"/>
          <w:color w:val="222222"/>
          <w:vertAlign w:val="superscript"/>
          <w:lang w:eastAsia="pt-PT"/>
        </w:rPr>
        <w:t>2</w:t>
      </w:r>
      <w:r w:rsidRPr="00B76AEC">
        <w:rPr>
          <w:rFonts w:ascii="Verdana" w:eastAsia="Times New Roman" w:hAnsi="Verdana" w:cs="Arial"/>
          <w:color w:val="222222"/>
          <w:lang w:eastAsia="pt-PT"/>
        </w:rPr>
        <w:t>. O estudo agora publicado na revista </w:t>
      </w:r>
      <w:proofErr w:type="spellStart"/>
      <w:r w:rsidRPr="00B76AEC">
        <w:rPr>
          <w:rFonts w:ascii="Verdana" w:eastAsia="Times New Roman" w:hAnsi="Verdana" w:cs="Arial"/>
          <w:i/>
          <w:iCs/>
          <w:color w:val="222222"/>
          <w:lang w:eastAsia="pt-PT"/>
        </w:rPr>
        <w:t>Cell</w:t>
      </w:r>
      <w:proofErr w:type="spellEnd"/>
      <w:r w:rsidRPr="00B76AEC">
        <w:rPr>
          <w:rFonts w:ascii="Verdana" w:eastAsia="Times New Roman" w:hAnsi="Verdana" w:cs="Arial"/>
          <w:i/>
          <w:iCs/>
          <w:color w:val="222222"/>
          <w:lang w:eastAsia="pt-PT"/>
        </w:rPr>
        <w:t xml:space="preserve"> </w:t>
      </w:r>
      <w:proofErr w:type="spellStart"/>
      <w:r w:rsidRPr="00B76AEC">
        <w:rPr>
          <w:rFonts w:ascii="Verdana" w:eastAsia="Times New Roman" w:hAnsi="Verdana" w:cs="Arial"/>
          <w:i/>
          <w:iCs/>
          <w:color w:val="222222"/>
          <w:lang w:eastAsia="pt-PT"/>
        </w:rPr>
        <w:t>Host</w:t>
      </w:r>
      <w:proofErr w:type="spellEnd"/>
      <w:r w:rsidRPr="00B76AEC">
        <w:rPr>
          <w:rFonts w:ascii="Verdana" w:eastAsia="Times New Roman" w:hAnsi="Verdana" w:cs="Arial"/>
          <w:i/>
          <w:iCs/>
          <w:color w:val="222222"/>
          <w:lang w:eastAsia="pt-PT"/>
        </w:rPr>
        <w:t xml:space="preserve"> &amp; Microbe</w:t>
      </w:r>
      <w:r w:rsidRPr="00B76AEC">
        <w:rPr>
          <w:rFonts w:ascii="Verdana" w:eastAsia="Times New Roman" w:hAnsi="Verdana" w:cs="Arial"/>
          <w:color w:val="222222"/>
          <w:vertAlign w:val="superscript"/>
          <w:lang w:eastAsia="pt-PT"/>
        </w:rPr>
        <w:t>1</w:t>
      </w:r>
      <w:r w:rsidRPr="00B76AEC">
        <w:rPr>
          <w:rFonts w:ascii="Verdana" w:eastAsia="Times New Roman" w:hAnsi="Verdana" w:cs="Arial"/>
          <w:color w:val="222222"/>
          <w:lang w:eastAsia="pt-PT"/>
        </w:rPr>
        <w:t xml:space="preserve"> mostra que esta estratégia de defesa envolve a regulação do metabolismo do ferro no organismo infetado.</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 xml:space="preserve">Sabe-se que a limitação da quantidade de ferro disponível aos parasitas pode diminuir a sua virulência, isto é, a capacidade de causar a doença. No entanto, esta estratégia de defesa tem um preço, nomeadamente a acumulação de ferro em tecidos e órgãos do organismo infetado. Isto pode conduzir a danos nos tecidos, potenciando a severidade da doença em vez de a reduzir. No trabalho experimental agora conduzido, </w:t>
      </w:r>
      <w:proofErr w:type="spellStart"/>
      <w:r w:rsidRPr="00B76AEC">
        <w:rPr>
          <w:rFonts w:ascii="Verdana" w:eastAsia="Times New Roman" w:hAnsi="Verdana" w:cs="Arial"/>
          <w:color w:val="222222"/>
          <w:lang w:eastAsia="pt-PT"/>
        </w:rPr>
        <w:t>Raffaella</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Gozzelino</w:t>
      </w:r>
      <w:proofErr w:type="spellEnd"/>
      <w:r w:rsidRPr="00B76AEC">
        <w:rPr>
          <w:rFonts w:ascii="Verdana" w:eastAsia="Times New Roman" w:hAnsi="Verdana" w:cs="Arial"/>
          <w:color w:val="222222"/>
          <w:lang w:eastAsia="pt-PT"/>
        </w:rPr>
        <w:t>, investigadora sénior do laboratório de Miguel Soares, mostra que o organismo ultrapassa este problema através da indução da expressão de H-Ferritina, que elimina o ferro do tecido. O efeito protetor da Ferritina previne o desenvolvimento de formas severas e geralmente letais da malária em ratinho.</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 xml:space="preserve">Os cientistas investigaram se a correlação entre o grau de severidade da malária e os níveis de Ferritina também existe em humanos. Conjuntamente com Bruno </w:t>
      </w:r>
      <w:proofErr w:type="spellStart"/>
      <w:r w:rsidRPr="00B76AEC">
        <w:rPr>
          <w:rFonts w:ascii="Verdana" w:eastAsia="Times New Roman" w:hAnsi="Verdana" w:cs="Arial"/>
          <w:color w:val="222222"/>
          <w:lang w:eastAsia="pt-PT"/>
        </w:rPr>
        <w:t>Bezerril</w:t>
      </w:r>
      <w:proofErr w:type="spellEnd"/>
      <w:r w:rsidRPr="00B76AEC">
        <w:rPr>
          <w:rFonts w:ascii="Verdana" w:eastAsia="Times New Roman" w:hAnsi="Verdana" w:cs="Arial"/>
          <w:color w:val="222222"/>
          <w:lang w:eastAsia="pt-PT"/>
        </w:rPr>
        <w:t xml:space="preserve"> Andrade (agora no </w:t>
      </w:r>
      <w:proofErr w:type="spellStart"/>
      <w:r w:rsidRPr="00B76AEC">
        <w:rPr>
          <w:rFonts w:ascii="Verdana" w:eastAsia="Times New Roman" w:hAnsi="Verdana" w:cs="Arial"/>
          <w:color w:val="222222"/>
          <w:lang w:eastAsia="pt-PT"/>
        </w:rPr>
        <w:t>National</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Institute</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of</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Allergy</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and</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Infectious</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Diseases</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National</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Institutes</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of</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Health</w:t>
      </w:r>
      <w:proofErr w:type="spellEnd"/>
      <w:r w:rsidRPr="00B76AEC">
        <w:rPr>
          <w:rFonts w:ascii="Verdana" w:eastAsia="Times New Roman" w:hAnsi="Verdana" w:cs="Arial"/>
          <w:color w:val="222222"/>
          <w:lang w:eastAsia="pt-PT"/>
        </w:rPr>
        <w:t>, USA), Nivea Luz e Manoel Barral-</w:t>
      </w:r>
      <w:proofErr w:type="spellStart"/>
      <w:r w:rsidRPr="00B76AEC">
        <w:rPr>
          <w:rFonts w:ascii="Verdana" w:eastAsia="Times New Roman" w:hAnsi="Verdana" w:cs="Arial"/>
          <w:color w:val="222222"/>
          <w:lang w:eastAsia="pt-PT"/>
        </w:rPr>
        <w:t>Netto</w:t>
      </w:r>
      <w:proofErr w:type="spellEnd"/>
      <w:r w:rsidRPr="00B76AEC">
        <w:rPr>
          <w:rFonts w:ascii="Verdana" w:eastAsia="Times New Roman" w:hAnsi="Verdana" w:cs="Arial"/>
          <w:color w:val="222222"/>
          <w:lang w:eastAsia="pt-PT"/>
        </w:rPr>
        <w:t xml:space="preserve"> (na Fundação </w:t>
      </w:r>
      <w:proofErr w:type="spellStart"/>
      <w:r w:rsidRPr="00B76AEC">
        <w:rPr>
          <w:rFonts w:ascii="Verdana" w:eastAsia="Times New Roman" w:hAnsi="Verdana" w:cs="Arial"/>
          <w:color w:val="222222"/>
          <w:lang w:eastAsia="pt-PT"/>
        </w:rPr>
        <w:t>Oswaldo</w:t>
      </w:r>
      <w:proofErr w:type="spellEnd"/>
      <w:r w:rsidRPr="00B76AEC">
        <w:rPr>
          <w:rFonts w:ascii="Verdana" w:eastAsia="Times New Roman" w:hAnsi="Verdana" w:cs="Arial"/>
          <w:color w:val="222222"/>
          <w:lang w:eastAsia="pt-PT"/>
        </w:rPr>
        <w:t xml:space="preserve"> Cruz e Faculdade de Medicina, Universidade Federal da Bahia, Brasil), analisaram amostras de indivíduos infetados com </w:t>
      </w:r>
      <w:proofErr w:type="spellStart"/>
      <w:r w:rsidRPr="00B76AEC">
        <w:rPr>
          <w:rFonts w:ascii="Verdana" w:eastAsia="Times New Roman" w:hAnsi="Verdana" w:cs="Arial"/>
          <w:i/>
          <w:iCs/>
          <w:color w:val="222222"/>
          <w:lang w:eastAsia="pt-PT"/>
        </w:rPr>
        <w:t>Plasmodium</w:t>
      </w:r>
      <w:proofErr w:type="spellEnd"/>
      <w:r w:rsidRPr="00B76AEC">
        <w:rPr>
          <w:rFonts w:ascii="Verdana" w:eastAsia="Times New Roman" w:hAnsi="Verdana" w:cs="Arial"/>
          <w:color w:val="222222"/>
          <w:lang w:eastAsia="pt-PT"/>
        </w:rPr>
        <w:t xml:space="preserve"> em Rondônia, um Estado no noroeste do Brasil. Os resultados obtidos mostram que, entre os indivíduos infetados, os que tinham os níveis mais altos de Ferritina apresentavam formas menos severas da doença. Estas observações, em conjunto com os resultados </w:t>
      </w:r>
      <w:r w:rsidRPr="00B76AEC">
        <w:rPr>
          <w:rFonts w:ascii="Verdana" w:eastAsia="Times New Roman" w:hAnsi="Verdana" w:cs="Arial"/>
          <w:color w:val="222222"/>
          <w:lang w:eastAsia="pt-PT"/>
        </w:rPr>
        <w:lastRenderedPageBreak/>
        <w:t>obtidos nos ensaios com ratinhos, mostram que a Ferritina confere proteção à malária sem interferir diretamente com o parasita que causa a doença, ou seja, a Ferritina confere tolerância à malária.  </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Miguel Soares diz: ‘</w:t>
      </w:r>
      <w:r w:rsidRPr="00B76AEC">
        <w:rPr>
          <w:rFonts w:ascii="Verdana" w:eastAsia="Times New Roman" w:hAnsi="Verdana" w:cs="Arial"/>
          <w:i/>
          <w:iCs/>
          <w:color w:val="222222"/>
          <w:lang w:eastAsia="pt-PT"/>
        </w:rPr>
        <w:t xml:space="preserve">O nosso trabalho sugere que indivíduos que expressam níveis mais baixos de Ferritina e que, portanto, não são tão eficientes em sequestrar o ferro tóxico dos seus tecidos, podem correr um risco mais elevado de desenvolver formas mais severas de malária. Além isto, o nosso estudo apoia uma teoria que explica como a proteção contra a malária, tal como contra outras doenças </w:t>
      </w:r>
      <w:proofErr w:type="spellStart"/>
      <w:r w:rsidRPr="00B76AEC">
        <w:rPr>
          <w:rFonts w:ascii="Verdana" w:eastAsia="Times New Roman" w:hAnsi="Verdana" w:cs="Arial"/>
          <w:i/>
          <w:iCs/>
          <w:color w:val="222222"/>
          <w:lang w:eastAsia="pt-PT"/>
        </w:rPr>
        <w:t>infecciosas</w:t>
      </w:r>
      <w:proofErr w:type="spellEnd"/>
      <w:r w:rsidRPr="00B76AEC">
        <w:rPr>
          <w:rFonts w:ascii="Verdana" w:eastAsia="Times New Roman" w:hAnsi="Verdana" w:cs="Arial"/>
          <w:i/>
          <w:iCs/>
          <w:color w:val="222222"/>
          <w:lang w:eastAsia="pt-PT"/>
        </w:rPr>
        <w:t>, pode operar sem visar diretamente o agente causador da doença, nomeadamente o </w:t>
      </w:r>
      <w:proofErr w:type="spellStart"/>
      <w:r w:rsidRPr="00B76AEC">
        <w:rPr>
          <w:rFonts w:ascii="Verdana" w:eastAsia="Times New Roman" w:hAnsi="Verdana" w:cs="Arial"/>
          <w:color w:val="222222"/>
          <w:lang w:eastAsia="pt-PT"/>
        </w:rPr>
        <w:t>Plasmodium</w:t>
      </w:r>
      <w:proofErr w:type="spellEnd"/>
      <w:r w:rsidRPr="00B76AEC">
        <w:rPr>
          <w:rFonts w:ascii="Verdana" w:eastAsia="Times New Roman" w:hAnsi="Verdana" w:cs="Arial"/>
          <w:i/>
          <w:iCs/>
          <w:color w:val="222222"/>
          <w:lang w:eastAsia="pt-PT"/>
        </w:rPr>
        <w:t>. Em vez disso, esta estratégia de defesa funciona protegendo as células, tecidos e órgãos no organismo infetado contra a disfunção, limitando assim a severidade da doença.</w:t>
      </w:r>
      <w:r w:rsidRPr="00B76AEC">
        <w:rPr>
          <w:rFonts w:ascii="Verdana" w:eastAsia="Times New Roman" w:hAnsi="Verdana" w:cs="Arial"/>
          <w:color w:val="222222"/>
          <w:lang w:eastAsia="pt-PT"/>
        </w:rPr>
        <w:t>’</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Este estudo abre portas a novas terapêuticas que podem conferir tolerância à malária.</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 </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 </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r>
        <w:rPr>
          <w:rFonts w:ascii="Verdana" w:eastAsia="Times New Roman" w:hAnsi="Verdana" w:cs="Arial"/>
          <w:color w:val="222222"/>
          <w:lang w:eastAsia="pt-PT"/>
        </w:rPr>
        <w:t>Ana Mena (IGC)</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Default="00B76AEC" w:rsidP="00B76AEC">
      <w:pPr>
        <w:shd w:val="clear" w:color="auto" w:fill="FFFFFF"/>
        <w:spacing w:after="0" w:line="240" w:lineRule="auto"/>
        <w:jc w:val="both"/>
        <w:rPr>
          <w:rFonts w:ascii="Verdana" w:eastAsia="Times New Roman" w:hAnsi="Verdana" w:cs="Arial"/>
          <w:color w:val="222222"/>
          <w:lang w:eastAsia="pt-PT"/>
        </w:rPr>
      </w:pPr>
      <w:r>
        <w:rPr>
          <w:rFonts w:ascii="Verdana" w:eastAsia="Times New Roman" w:hAnsi="Verdana" w:cs="Arial"/>
          <w:color w:val="222222"/>
          <w:lang w:eastAsia="pt-PT"/>
        </w:rPr>
        <w:t>Ciência na Imprensa Regional – Ciência Viva</w:t>
      </w:r>
    </w:p>
    <w:p w:rsid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Referências aos artigos</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r>
        <w:rPr>
          <w:rFonts w:ascii="Verdana" w:eastAsia="Times New Roman" w:hAnsi="Verdana" w:cs="Arial"/>
          <w:color w:val="222222"/>
          <w:lang w:eastAsia="pt-PT"/>
        </w:rPr>
        <w:t xml:space="preserve">1 - </w:t>
      </w:r>
      <w:proofErr w:type="spellStart"/>
      <w:r w:rsidRPr="00B76AEC">
        <w:rPr>
          <w:rFonts w:ascii="Verdana" w:eastAsia="Times New Roman" w:hAnsi="Verdana" w:cs="Arial"/>
          <w:color w:val="222222"/>
          <w:lang w:eastAsia="pt-PT"/>
        </w:rPr>
        <w:t>Raffaella</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Gozzelino</w:t>
      </w:r>
      <w:proofErr w:type="spellEnd"/>
      <w:r w:rsidRPr="00B76AEC">
        <w:rPr>
          <w:rFonts w:ascii="Verdana" w:eastAsia="Times New Roman" w:hAnsi="Verdana" w:cs="Arial"/>
          <w:color w:val="222222"/>
          <w:lang w:eastAsia="pt-PT"/>
        </w:rPr>
        <w:t xml:space="preserve">, Bruno </w:t>
      </w:r>
      <w:proofErr w:type="spellStart"/>
      <w:r w:rsidRPr="00B76AEC">
        <w:rPr>
          <w:rFonts w:ascii="Verdana" w:eastAsia="Times New Roman" w:hAnsi="Verdana" w:cs="Arial"/>
          <w:color w:val="222222"/>
          <w:lang w:eastAsia="pt-PT"/>
        </w:rPr>
        <w:t>Bezerril</w:t>
      </w:r>
      <w:proofErr w:type="spellEnd"/>
      <w:r w:rsidRPr="00B76AEC">
        <w:rPr>
          <w:rFonts w:ascii="Verdana" w:eastAsia="Times New Roman" w:hAnsi="Verdana" w:cs="Arial"/>
          <w:color w:val="222222"/>
          <w:lang w:eastAsia="pt-PT"/>
        </w:rPr>
        <w:t xml:space="preserve"> Andrade, </w:t>
      </w:r>
      <w:proofErr w:type="spellStart"/>
      <w:r w:rsidRPr="00B76AEC">
        <w:rPr>
          <w:rFonts w:ascii="Verdana" w:eastAsia="Times New Roman" w:hAnsi="Verdana" w:cs="Arial"/>
          <w:color w:val="222222"/>
          <w:lang w:eastAsia="pt-PT"/>
        </w:rPr>
        <w:t>Rasmus</w:t>
      </w:r>
      <w:proofErr w:type="spellEnd"/>
      <w:r w:rsidRPr="00B76AEC">
        <w:rPr>
          <w:rFonts w:ascii="Verdana" w:eastAsia="Times New Roman" w:hAnsi="Verdana" w:cs="Arial"/>
          <w:color w:val="222222"/>
          <w:lang w:eastAsia="pt-PT"/>
        </w:rPr>
        <w:t xml:space="preserve"> Larsen, Nivea F. Luz, </w:t>
      </w:r>
      <w:proofErr w:type="spellStart"/>
      <w:r w:rsidRPr="00B76AEC">
        <w:rPr>
          <w:rFonts w:ascii="Verdana" w:eastAsia="Times New Roman" w:hAnsi="Verdana" w:cs="Arial"/>
          <w:color w:val="222222"/>
          <w:lang w:eastAsia="pt-PT"/>
        </w:rPr>
        <w:t>Liviu</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Vanoaica</w:t>
      </w:r>
      <w:proofErr w:type="spellEnd"/>
      <w:r w:rsidRPr="00B76AEC">
        <w:rPr>
          <w:rFonts w:ascii="Verdana" w:eastAsia="Times New Roman" w:hAnsi="Verdana" w:cs="Arial"/>
          <w:color w:val="222222"/>
          <w:lang w:eastAsia="pt-PT"/>
        </w:rPr>
        <w:t xml:space="preserve">, Elsa Seixas, António Coutinho, Sílvia Cardoso, Sofia Rebelo, Maura Poli, Manoel Barral-Neto, </w:t>
      </w:r>
      <w:proofErr w:type="spellStart"/>
      <w:r w:rsidRPr="00B76AEC">
        <w:rPr>
          <w:rFonts w:ascii="Verdana" w:eastAsia="Times New Roman" w:hAnsi="Verdana" w:cs="Arial"/>
          <w:color w:val="222222"/>
          <w:lang w:eastAsia="pt-PT"/>
        </w:rPr>
        <w:t>Deepak</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Darshan</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Lukas</w:t>
      </w:r>
      <w:proofErr w:type="spellEnd"/>
      <w:r w:rsidRPr="00B76AEC">
        <w:rPr>
          <w:rFonts w:ascii="Verdana" w:eastAsia="Times New Roman" w:hAnsi="Verdana" w:cs="Arial"/>
          <w:color w:val="222222"/>
          <w:lang w:eastAsia="pt-PT"/>
        </w:rPr>
        <w:t xml:space="preserve"> C. </w:t>
      </w:r>
      <w:proofErr w:type="spellStart"/>
      <w:r w:rsidRPr="00B76AEC">
        <w:rPr>
          <w:rFonts w:ascii="Verdana" w:eastAsia="Times New Roman" w:hAnsi="Verdana" w:cs="Arial"/>
          <w:color w:val="222222"/>
          <w:lang w:eastAsia="pt-PT"/>
        </w:rPr>
        <w:t>Kühn</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and</w:t>
      </w:r>
      <w:proofErr w:type="spellEnd"/>
      <w:r w:rsidRPr="00B76AEC">
        <w:rPr>
          <w:rFonts w:ascii="Verdana" w:eastAsia="Times New Roman" w:hAnsi="Verdana" w:cs="Arial"/>
          <w:color w:val="222222"/>
          <w:lang w:eastAsia="pt-PT"/>
        </w:rPr>
        <w:t xml:space="preserve"> Miguel P. Soares. </w:t>
      </w:r>
      <w:r w:rsidRPr="00B76AEC">
        <w:rPr>
          <w:rFonts w:ascii="Verdana" w:eastAsia="Times New Roman" w:hAnsi="Verdana" w:cs="Arial"/>
          <w:color w:val="222222"/>
          <w:lang w:val="en-US" w:eastAsia="pt-PT"/>
        </w:rPr>
        <w:t>(2012) Metabolic Adaptation to Tissue Iron Overload Confers Tolerance to Malaria. </w:t>
      </w:r>
      <w:proofErr w:type="spellStart"/>
      <w:r w:rsidRPr="00B76AEC">
        <w:rPr>
          <w:rFonts w:ascii="Verdana" w:eastAsia="Times New Roman" w:hAnsi="Verdana" w:cs="Arial"/>
          <w:i/>
          <w:iCs/>
          <w:color w:val="222222"/>
          <w:lang w:eastAsia="pt-PT"/>
        </w:rPr>
        <w:t>Cell</w:t>
      </w:r>
      <w:proofErr w:type="spellEnd"/>
      <w:r w:rsidRPr="00B76AEC">
        <w:rPr>
          <w:rFonts w:ascii="Verdana" w:eastAsia="Times New Roman" w:hAnsi="Verdana" w:cs="Arial"/>
          <w:i/>
          <w:iCs/>
          <w:color w:val="222222"/>
          <w:lang w:eastAsia="pt-PT"/>
        </w:rPr>
        <w:t xml:space="preserve"> </w:t>
      </w:r>
      <w:proofErr w:type="spellStart"/>
      <w:r w:rsidRPr="00B76AEC">
        <w:rPr>
          <w:rFonts w:ascii="Verdana" w:eastAsia="Times New Roman" w:hAnsi="Verdana" w:cs="Arial"/>
          <w:i/>
          <w:iCs/>
          <w:color w:val="222222"/>
          <w:lang w:eastAsia="pt-PT"/>
        </w:rPr>
        <w:t>Host</w:t>
      </w:r>
      <w:proofErr w:type="spellEnd"/>
      <w:r w:rsidRPr="00B76AEC">
        <w:rPr>
          <w:rFonts w:ascii="Verdana" w:eastAsia="Times New Roman" w:hAnsi="Verdana" w:cs="Arial"/>
          <w:i/>
          <w:iCs/>
          <w:color w:val="222222"/>
          <w:lang w:eastAsia="pt-PT"/>
        </w:rPr>
        <w:t xml:space="preserve"> &amp; </w:t>
      </w:r>
      <w:proofErr w:type="spellStart"/>
      <w:r w:rsidRPr="00B76AEC">
        <w:rPr>
          <w:rFonts w:ascii="Verdana" w:eastAsia="Times New Roman" w:hAnsi="Verdana" w:cs="Arial"/>
          <w:i/>
          <w:iCs/>
          <w:color w:val="222222"/>
          <w:lang w:eastAsia="pt-PT"/>
        </w:rPr>
        <w:t>Microbe</w:t>
      </w:r>
      <w:proofErr w:type="spellEnd"/>
      <w:r w:rsidRPr="00B76AEC">
        <w:rPr>
          <w:rFonts w:ascii="Verdana" w:eastAsia="Times New Roman" w:hAnsi="Verdana" w:cs="Arial"/>
          <w:i/>
          <w:iCs/>
          <w:color w:val="1F497D"/>
          <w:lang w:eastAsia="pt-PT"/>
        </w:rPr>
        <w:t> </w:t>
      </w:r>
      <w:r w:rsidRPr="00B76AEC">
        <w:rPr>
          <w:rFonts w:ascii="Verdana" w:eastAsia="Times New Roman" w:hAnsi="Verdana" w:cs="Arial"/>
          <w:b/>
          <w:bCs/>
          <w:color w:val="222222"/>
          <w:lang w:eastAsia="pt-PT"/>
        </w:rPr>
        <w:t>12:</w:t>
      </w:r>
      <w:r w:rsidRPr="00B76AEC">
        <w:rPr>
          <w:rFonts w:ascii="Verdana" w:eastAsia="Times New Roman" w:hAnsi="Verdana" w:cs="Arial"/>
          <w:color w:val="222222"/>
          <w:lang w:eastAsia="pt-PT"/>
        </w:rPr>
        <w:t> 693-704.</w:t>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p>
    <w:p w:rsidR="00B76AEC" w:rsidRDefault="00B76AEC" w:rsidP="00B76AEC">
      <w:pPr>
        <w:rPr>
          <w:rFonts w:ascii="Verdana" w:eastAsia="Times New Roman" w:hAnsi="Verdana" w:cs="Arial"/>
          <w:color w:val="222222"/>
          <w:lang w:val="en-US" w:eastAsia="pt-PT"/>
        </w:rPr>
      </w:pPr>
      <w:proofErr w:type="gramStart"/>
      <w:r>
        <w:rPr>
          <w:rFonts w:ascii="Verdana" w:eastAsia="Times New Roman" w:hAnsi="Verdana" w:cs="Calibri"/>
          <w:color w:val="222222"/>
          <w:shd w:val="clear" w:color="auto" w:fill="FFFFFF"/>
          <w:lang w:val="en-US" w:eastAsia="pt-PT"/>
        </w:rPr>
        <w:t xml:space="preserve">2 - </w:t>
      </w:r>
      <w:proofErr w:type="spellStart"/>
      <w:r w:rsidRPr="00B76AEC">
        <w:rPr>
          <w:rFonts w:ascii="Verdana" w:eastAsia="Times New Roman" w:hAnsi="Verdana" w:cs="Calibri"/>
          <w:color w:val="222222"/>
          <w:shd w:val="clear" w:color="auto" w:fill="FFFFFF"/>
          <w:lang w:val="en-US" w:eastAsia="pt-PT"/>
        </w:rPr>
        <w:t>Ruslan</w:t>
      </w:r>
      <w:proofErr w:type="spellEnd"/>
      <w:r w:rsidRPr="00B76AEC">
        <w:rPr>
          <w:rFonts w:ascii="Verdana" w:eastAsia="Times New Roman" w:hAnsi="Verdana" w:cs="Calibri"/>
          <w:color w:val="222222"/>
          <w:shd w:val="clear" w:color="auto" w:fill="FFFFFF"/>
          <w:lang w:val="en-US" w:eastAsia="pt-PT"/>
        </w:rPr>
        <w:t xml:space="preserve"> </w:t>
      </w:r>
      <w:proofErr w:type="spellStart"/>
      <w:r w:rsidRPr="00B76AEC">
        <w:rPr>
          <w:rFonts w:ascii="Verdana" w:eastAsia="Times New Roman" w:hAnsi="Verdana" w:cs="Calibri"/>
          <w:color w:val="222222"/>
          <w:shd w:val="clear" w:color="auto" w:fill="FFFFFF"/>
          <w:lang w:val="en-US" w:eastAsia="pt-PT"/>
        </w:rPr>
        <w:t>Medzhitov</w:t>
      </w:r>
      <w:proofErr w:type="spellEnd"/>
      <w:r w:rsidRPr="00B76AEC">
        <w:rPr>
          <w:rFonts w:ascii="Verdana" w:eastAsia="Times New Roman" w:hAnsi="Verdana" w:cs="Calibri"/>
          <w:color w:val="222222"/>
          <w:shd w:val="clear" w:color="auto" w:fill="FFFFFF"/>
          <w:lang w:val="en-US" w:eastAsia="pt-PT"/>
        </w:rPr>
        <w:t xml:space="preserve">, David S. Schneider and Miguel P. </w:t>
      </w:r>
      <w:proofErr w:type="spellStart"/>
      <w:r w:rsidRPr="00B76AEC">
        <w:rPr>
          <w:rFonts w:ascii="Verdana" w:eastAsia="Times New Roman" w:hAnsi="Verdana" w:cs="Calibri"/>
          <w:color w:val="222222"/>
          <w:shd w:val="clear" w:color="auto" w:fill="FFFFFF"/>
          <w:lang w:val="en-US" w:eastAsia="pt-PT"/>
        </w:rPr>
        <w:t>Soares</w:t>
      </w:r>
      <w:proofErr w:type="spellEnd"/>
      <w:r w:rsidRPr="00B76AEC">
        <w:rPr>
          <w:rFonts w:ascii="Verdana" w:eastAsia="Times New Roman" w:hAnsi="Verdana" w:cs="Calibri"/>
          <w:color w:val="222222"/>
          <w:shd w:val="clear" w:color="auto" w:fill="FFFFFF"/>
          <w:lang w:val="en-US" w:eastAsia="pt-PT"/>
        </w:rPr>
        <w:t>.</w:t>
      </w:r>
      <w:proofErr w:type="gramEnd"/>
      <w:r w:rsidRPr="00B76AEC">
        <w:rPr>
          <w:rFonts w:ascii="Verdana" w:eastAsia="Times New Roman" w:hAnsi="Verdana" w:cs="Calibri"/>
          <w:color w:val="222222"/>
          <w:shd w:val="clear" w:color="auto" w:fill="FFFFFF"/>
          <w:lang w:val="en-US" w:eastAsia="pt-PT"/>
        </w:rPr>
        <w:t xml:space="preserve"> </w:t>
      </w:r>
      <w:proofErr w:type="gramStart"/>
      <w:r w:rsidRPr="00B76AEC">
        <w:rPr>
          <w:rFonts w:ascii="Verdana" w:eastAsia="Times New Roman" w:hAnsi="Verdana" w:cs="Calibri"/>
          <w:color w:val="222222"/>
          <w:shd w:val="clear" w:color="auto" w:fill="FFFFFF"/>
          <w:lang w:val="en-US" w:eastAsia="pt-PT"/>
        </w:rPr>
        <w:t>(2012) Disease Tolerance as a Defense Strategy.</w:t>
      </w:r>
      <w:proofErr w:type="gramEnd"/>
      <w:r w:rsidRPr="00B76AEC">
        <w:rPr>
          <w:rFonts w:ascii="Verdana" w:eastAsia="Times New Roman" w:hAnsi="Verdana" w:cs="Calibri"/>
          <w:color w:val="222222"/>
          <w:lang w:val="en-US" w:eastAsia="pt-PT"/>
        </w:rPr>
        <w:t> </w:t>
      </w:r>
      <w:r w:rsidRPr="00B76AEC">
        <w:rPr>
          <w:rFonts w:ascii="Verdana" w:eastAsia="Times New Roman" w:hAnsi="Verdana" w:cs="Calibri"/>
          <w:i/>
          <w:iCs/>
          <w:color w:val="222222"/>
          <w:shd w:val="clear" w:color="auto" w:fill="FFFFFF"/>
          <w:lang w:val="en-US" w:eastAsia="pt-PT"/>
        </w:rPr>
        <w:t>Science</w:t>
      </w:r>
      <w:r w:rsidRPr="00B76AEC">
        <w:rPr>
          <w:rFonts w:ascii="Verdana" w:eastAsia="Times New Roman" w:hAnsi="Verdana" w:cs="Calibri"/>
          <w:i/>
          <w:iCs/>
          <w:color w:val="222222"/>
          <w:lang w:val="en-US" w:eastAsia="pt-PT"/>
        </w:rPr>
        <w:t> </w:t>
      </w:r>
      <w:r w:rsidRPr="00B76AEC">
        <w:rPr>
          <w:rFonts w:ascii="Verdana" w:eastAsia="Times New Roman" w:hAnsi="Verdana" w:cs="Calibri"/>
          <w:b/>
          <w:bCs/>
          <w:color w:val="222222"/>
          <w:shd w:val="clear" w:color="auto" w:fill="FFFFFF"/>
          <w:lang w:val="en-US" w:eastAsia="pt-PT"/>
        </w:rPr>
        <w:t>335:</w:t>
      </w:r>
      <w:r w:rsidRPr="00B76AEC">
        <w:rPr>
          <w:rFonts w:ascii="Verdana" w:eastAsia="Times New Roman" w:hAnsi="Verdana" w:cs="Calibri"/>
          <w:b/>
          <w:bCs/>
          <w:color w:val="222222"/>
          <w:lang w:val="en-US" w:eastAsia="pt-PT"/>
        </w:rPr>
        <w:t> </w:t>
      </w:r>
      <w:r w:rsidRPr="00B76AEC">
        <w:rPr>
          <w:rFonts w:ascii="Verdana" w:eastAsia="Times New Roman" w:hAnsi="Verdana" w:cs="Calibri"/>
          <w:color w:val="222222"/>
          <w:shd w:val="clear" w:color="auto" w:fill="FFFFFF"/>
          <w:lang w:val="en-US" w:eastAsia="pt-PT"/>
        </w:rPr>
        <w:t>936-941.</w:t>
      </w:r>
      <w:r w:rsidRPr="00B76AEC">
        <w:rPr>
          <w:rFonts w:ascii="Verdana" w:eastAsia="Times New Roman" w:hAnsi="Verdana" w:cs="Calibri"/>
          <w:color w:val="222222"/>
          <w:lang w:val="en-US" w:eastAsia="pt-PT"/>
        </w:rPr>
        <w:t> </w:t>
      </w:r>
      <w:r w:rsidRPr="00B76AEC">
        <w:rPr>
          <w:rFonts w:ascii="Verdana" w:eastAsia="Times New Roman" w:hAnsi="Verdana" w:cs="Arial"/>
          <w:color w:val="222222"/>
          <w:lang w:val="en-US" w:eastAsia="pt-PT"/>
        </w:rPr>
        <w:br/>
      </w:r>
      <w:r w:rsidRPr="00B76AEC">
        <w:rPr>
          <w:rFonts w:ascii="Verdana" w:eastAsia="Times New Roman" w:hAnsi="Verdana" w:cs="Arial"/>
          <w:color w:val="222222"/>
          <w:lang w:val="en-US" w:eastAsia="pt-PT"/>
        </w:rPr>
        <w:br/>
      </w:r>
    </w:p>
    <w:p w:rsidR="00B76AEC" w:rsidRPr="00B76AEC" w:rsidRDefault="00B76AEC" w:rsidP="00B76AEC">
      <w:pPr>
        <w:shd w:val="clear" w:color="auto" w:fill="FFFFFF"/>
        <w:spacing w:after="0" w:line="240" w:lineRule="auto"/>
        <w:jc w:val="both"/>
        <w:rPr>
          <w:rFonts w:ascii="Verdana" w:eastAsia="Times New Roman" w:hAnsi="Verdana" w:cs="Arial"/>
          <w:color w:val="222222"/>
          <w:lang w:eastAsia="pt-PT"/>
        </w:rPr>
      </w:pPr>
      <w:r w:rsidRPr="00B76AEC">
        <w:rPr>
          <w:rFonts w:ascii="Verdana" w:eastAsia="Times New Roman" w:hAnsi="Verdana" w:cs="Arial"/>
          <w:color w:val="222222"/>
          <w:lang w:eastAsia="pt-PT"/>
        </w:rPr>
        <w:t xml:space="preserve">Esta investigação foi desenvolvida no IGC em colaboração com investigadores do </w:t>
      </w:r>
      <w:proofErr w:type="spellStart"/>
      <w:r w:rsidRPr="00B76AEC">
        <w:rPr>
          <w:rFonts w:ascii="Verdana" w:eastAsia="Times New Roman" w:hAnsi="Verdana" w:cs="Arial"/>
          <w:color w:val="222222"/>
          <w:lang w:eastAsia="pt-PT"/>
        </w:rPr>
        <w:t>National</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Institutes</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of</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Health</w:t>
      </w:r>
      <w:proofErr w:type="spellEnd"/>
      <w:r w:rsidRPr="00B76AEC">
        <w:rPr>
          <w:rFonts w:ascii="Verdana" w:eastAsia="Times New Roman" w:hAnsi="Verdana" w:cs="Arial"/>
          <w:color w:val="222222"/>
          <w:lang w:eastAsia="pt-PT"/>
        </w:rPr>
        <w:t xml:space="preserve"> (NIH), EUA, Fundação </w:t>
      </w:r>
      <w:proofErr w:type="spellStart"/>
      <w:r w:rsidRPr="00B76AEC">
        <w:rPr>
          <w:rFonts w:ascii="Verdana" w:eastAsia="Times New Roman" w:hAnsi="Verdana" w:cs="Arial"/>
          <w:color w:val="222222"/>
          <w:lang w:eastAsia="pt-PT"/>
        </w:rPr>
        <w:t>Oswaldo</w:t>
      </w:r>
      <w:proofErr w:type="spellEnd"/>
      <w:r w:rsidRPr="00B76AEC">
        <w:rPr>
          <w:rFonts w:ascii="Verdana" w:eastAsia="Times New Roman" w:hAnsi="Verdana" w:cs="Arial"/>
          <w:color w:val="222222"/>
          <w:lang w:eastAsia="pt-PT"/>
        </w:rPr>
        <w:t xml:space="preserve"> Cruz (FIOCRUZ), Brasil, Faculdade de Medicina da Universidade Federal da Bahia, Brasil, </w:t>
      </w:r>
      <w:proofErr w:type="spellStart"/>
      <w:r w:rsidRPr="00B76AEC">
        <w:rPr>
          <w:rFonts w:ascii="Verdana" w:eastAsia="Times New Roman" w:hAnsi="Verdana" w:cs="Arial"/>
          <w:color w:val="222222"/>
          <w:lang w:eastAsia="pt-PT"/>
        </w:rPr>
        <w:t>École</w:t>
      </w:r>
      <w:proofErr w:type="spellEnd"/>
      <w:r w:rsidRPr="00B76AEC">
        <w:rPr>
          <w:rFonts w:ascii="Verdana" w:eastAsia="Times New Roman" w:hAnsi="Verdana" w:cs="Arial"/>
          <w:color w:val="222222"/>
          <w:lang w:eastAsia="pt-PT"/>
        </w:rPr>
        <w:t xml:space="preserve"> Polytechnique </w:t>
      </w:r>
      <w:proofErr w:type="spellStart"/>
      <w:r w:rsidRPr="00B76AEC">
        <w:rPr>
          <w:rFonts w:ascii="Verdana" w:eastAsia="Times New Roman" w:hAnsi="Verdana" w:cs="Arial"/>
          <w:color w:val="222222"/>
          <w:lang w:eastAsia="pt-PT"/>
        </w:rPr>
        <w:t>Federale</w:t>
      </w:r>
      <w:proofErr w:type="spellEnd"/>
      <w:r w:rsidRPr="00B76AEC">
        <w:rPr>
          <w:rFonts w:ascii="Verdana" w:eastAsia="Times New Roman" w:hAnsi="Verdana" w:cs="Arial"/>
          <w:color w:val="222222"/>
          <w:lang w:eastAsia="pt-PT"/>
        </w:rPr>
        <w:t xml:space="preserve"> de Lausanne (EPFL), </w:t>
      </w:r>
      <w:proofErr w:type="spellStart"/>
      <w:r w:rsidRPr="00B76AEC">
        <w:rPr>
          <w:rFonts w:ascii="Verdana" w:eastAsia="Times New Roman" w:hAnsi="Verdana" w:cs="Arial"/>
          <w:color w:val="222222"/>
          <w:lang w:eastAsia="pt-PT"/>
        </w:rPr>
        <w:t>Swiss</w:t>
      </w:r>
      <w:proofErr w:type="spellEnd"/>
      <w:r w:rsidRPr="00B76AEC">
        <w:rPr>
          <w:rFonts w:ascii="Verdana" w:eastAsia="Times New Roman" w:hAnsi="Verdana" w:cs="Arial"/>
          <w:color w:val="222222"/>
          <w:lang w:eastAsia="pt-PT"/>
        </w:rPr>
        <w:t xml:space="preserve"> </w:t>
      </w:r>
      <w:proofErr w:type="spellStart"/>
      <w:r w:rsidRPr="00B76AEC">
        <w:rPr>
          <w:rFonts w:ascii="Verdana" w:eastAsia="Times New Roman" w:hAnsi="Verdana" w:cs="Arial"/>
          <w:color w:val="222222"/>
          <w:lang w:eastAsia="pt-PT"/>
        </w:rPr>
        <w:t>Institute</w:t>
      </w:r>
      <w:proofErr w:type="spellEnd"/>
      <w:r w:rsidRPr="00B76AEC">
        <w:rPr>
          <w:rFonts w:ascii="Verdana" w:eastAsia="Times New Roman" w:hAnsi="Verdana" w:cs="Arial"/>
          <w:color w:val="222222"/>
          <w:lang w:eastAsia="pt-PT"/>
        </w:rPr>
        <w:t xml:space="preserve"> for Experimental </w:t>
      </w:r>
      <w:proofErr w:type="spellStart"/>
      <w:r w:rsidRPr="00B76AEC">
        <w:rPr>
          <w:rFonts w:ascii="Verdana" w:eastAsia="Times New Roman" w:hAnsi="Verdana" w:cs="Arial"/>
          <w:color w:val="222222"/>
          <w:lang w:eastAsia="pt-PT"/>
        </w:rPr>
        <w:t>Cancer</w:t>
      </w:r>
      <w:proofErr w:type="spellEnd"/>
      <w:r w:rsidRPr="00B76AEC">
        <w:rPr>
          <w:rFonts w:ascii="Verdana" w:eastAsia="Times New Roman" w:hAnsi="Verdana" w:cs="Arial"/>
          <w:color w:val="222222"/>
          <w:lang w:eastAsia="pt-PT"/>
        </w:rPr>
        <w:t xml:space="preserve"> Research (ISREC), Suíça, e Universidade de Brescia, Itália. Este projeto foi financiado pela Fundação para a Ciência e a Tecnologia (Portugal), pelo 6º Programa Quadro da Comissão Europeia, pela Financiadora de Estudos e Projetos/Fundo Nacional de Desenvolvimento Científico e Tecnológico Amazônia (Brasil), pelo Conselho Nacional de Pesquisa e Tecnologia (Brasil), pelo Conselho Nacional de Ciência e Tecnologia (</w:t>
      </w:r>
      <w:proofErr w:type="spellStart"/>
      <w:r w:rsidRPr="00B76AEC">
        <w:rPr>
          <w:rFonts w:ascii="Verdana" w:eastAsia="Times New Roman" w:hAnsi="Verdana" w:cs="Arial"/>
          <w:color w:val="222222"/>
          <w:lang w:eastAsia="pt-PT"/>
        </w:rPr>
        <w:t>CNPq</w:t>
      </w:r>
      <w:proofErr w:type="spellEnd"/>
      <w:r w:rsidRPr="00B76AEC">
        <w:rPr>
          <w:rFonts w:ascii="Verdana" w:eastAsia="Times New Roman" w:hAnsi="Verdana" w:cs="Arial"/>
          <w:color w:val="222222"/>
          <w:lang w:eastAsia="pt-PT"/>
        </w:rPr>
        <w:t>) (Brasil) e pelo NIH.</w:t>
      </w:r>
    </w:p>
    <w:p w:rsidR="00B76AEC" w:rsidRDefault="00B76AEC" w:rsidP="00B76AEC">
      <w:pPr>
        <w:rPr>
          <w:rFonts w:ascii="Verdana" w:eastAsia="Times New Roman" w:hAnsi="Verdana" w:cs="Arial"/>
          <w:b/>
          <w:bCs/>
          <w:color w:val="222222"/>
          <w:shd w:val="clear" w:color="auto" w:fill="FFFFFF"/>
          <w:lang w:eastAsia="pt-PT"/>
        </w:rPr>
      </w:pPr>
      <w:r w:rsidRPr="00B76AEC">
        <w:rPr>
          <w:rFonts w:ascii="Verdana" w:eastAsia="Times New Roman" w:hAnsi="Verdana" w:cs="Arial"/>
          <w:color w:val="222222"/>
          <w:lang w:eastAsia="pt-PT"/>
        </w:rPr>
        <w:br/>
      </w:r>
    </w:p>
    <w:p w:rsidR="00B76AEC" w:rsidRPr="00B76AEC" w:rsidRDefault="00B76AEC" w:rsidP="00B76AEC">
      <w:pPr>
        <w:rPr>
          <w:rFonts w:ascii="Verdana" w:hAnsi="Verdana"/>
        </w:rPr>
      </w:pPr>
      <w:r w:rsidRPr="00B76AEC">
        <w:rPr>
          <w:rFonts w:ascii="Verdana" w:eastAsia="Times New Roman" w:hAnsi="Verdana" w:cs="Arial"/>
          <w:b/>
          <w:bCs/>
          <w:color w:val="222222"/>
          <w:shd w:val="clear" w:color="auto" w:fill="FFFFFF"/>
          <w:lang w:eastAsia="pt-PT"/>
        </w:rPr>
        <w:lastRenderedPageBreak/>
        <w:t>Imagem:</w:t>
      </w:r>
      <w:r w:rsidRPr="00B76AEC">
        <w:rPr>
          <w:rFonts w:ascii="Verdana" w:eastAsia="Times New Roman" w:hAnsi="Verdana" w:cs="Arial"/>
          <w:color w:val="222222"/>
          <w:lang w:eastAsia="pt-PT"/>
        </w:rPr>
        <w:t> </w:t>
      </w:r>
      <w:r w:rsidRPr="00B76AEC">
        <w:rPr>
          <w:rFonts w:ascii="Verdana" w:eastAsia="Times New Roman" w:hAnsi="Verdana" w:cs="Calibri"/>
          <w:color w:val="222222"/>
          <w:shd w:val="clear" w:color="auto" w:fill="FFFFFF"/>
          <w:lang w:eastAsia="pt-PT"/>
        </w:rPr>
        <w:t xml:space="preserve">Escultura em ferro “Despertar” (2004) do artista Rui </w:t>
      </w:r>
      <w:proofErr w:type="spellStart"/>
      <w:r w:rsidRPr="00B76AEC">
        <w:rPr>
          <w:rFonts w:ascii="Verdana" w:eastAsia="Times New Roman" w:hAnsi="Verdana" w:cs="Calibri"/>
          <w:color w:val="222222"/>
          <w:shd w:val="clear" w:color="auto" w:fill="FFFFFF"/>
          <w:lang w:eastAsia="pt-PT"/>
        </w:rPr>
        <w:t>Chafes</w:t>
      </w:r>
      <w:proofErr w:type="spellEnd"/>
      <w:r w:rsidRPr="00B76AEC">
        <w:rPr>
          <w:rFonts w:ascii="Verdana" w:eastAsia="Times New Roman" w:hAnsi="Verdana" w:cs="Calibri"/>
          <w:color w:val="222222"/>
          <w:shd w:val="clear" w:color="auto" w:fill="FFFFFF"/>
          <w:lang w:eastAsia="pt-PT"/>
        </w:rPr>
        <w:t>.</w:t>
      </w:r>
      <w:r w:rsidRPr="00B76AEC">
        <w:rPr>
          <w:rFonts w:ascii="Verdana" w:eastAsia="Times New Roman" w:hAnsi="Verdana" w:cs="Calibri"/>
          <w:color w:val="222222"/>
          <w:lang w:eastAsia="pt-PT"/>
        </w:rPr>
        <w:t> </w:t>
      </w:r>
      <w:r w:rsidRPr="00B76AEC">
        <w:rPr>
          <w:rFonts w:ascii="Verdana" w:eastAsia="Times New Roman" w:hAnsi="Verdana" w:cs="Calibri"/>
          <w:color w:val="222222"/>
          <w:shd w:val="clear" w:color="auto" w:fill="FFFFFF"/>
          <w:lang w:eastAsia="pt-PT"/>
        </w:rPr>
        <w:t xml:space="preserve">Fonte: CHAFES, Rui, </w:t>
      </w:r>
      <w:proofErr w:type="spellStart"/>
      <w:r w:rsidRPr="00B76AEC">
        <w:rPr>
          <w:rFonts w:ascii="Verdana" w:eastAsia="Times New Roman" w:hAnsi="Verdana" w:cs="Calibri"/>
          <w:color w:val="222222"/>
          <w:shd w:val="clear" w:color="auto" w:fill="FFFFFF"/>
          <w:lang w:eastAsia="pt-PT"/>
        </w:rPr>
        <w:t>Contramundo</w:t>
      </w:r>
      <w:proofErr w:type="spellEnd"/>
      <w:r w:rsidRPr="00B76AEC">
        <w:rPr>
          <w:rFonts w:ascii="Verdana" w:eastAsia="Times New Roman" w:hAnsi="Verdana" w:cs="Calibri"/>
          <w:color w:val="222222"/>
          <w:shd w:val="clear" w:color="auto" w:fill="FFFFFF"/>
          <w:lang w:eastAsia="pt-PT"/>
        </w:rPr>
        <w:t xml:space="preserve"> esculturas 2002-2011, </w:t>
      </w:r>
      <w:proofErr w:type="spellStart"/>
      <w:r w:rsidRPr="00B76AEC">
        <w:rPr>
          <w:rFonts w:ascii="Verdana" w:eastAsia="Times New Roman" w:hAnsi="Verdana" w:cs="Calibri"/>
          <w:color w:val="222222"/>
          <w:shd w:val="clear" w:color="auto" w:fill="FFFFFF"/>
          <w:lang w:eastAsia="pt-PT"/>
        </w:rPr>
        <w:t>Fundación</w:t>
      </w:r>
      <w:proofErr w:type="spellEnd"/>
      <w:r w:rsidRPr="00B76AEC">
        <w:rPr>
          <w:rFonts w:ascii="Verdana" w:eastAsia="Times New Roman" w:hAnsi="Verdana" w:cs="Calibri"/>
          <w:color w:val="222222"/>
          <w:shd w:val="clear" w:color="auto" w:fill="FFFFFF"/>
          <w:lang w:eastAsia="pt-PT"/>
        </w:rPr>
        <w:t xml:space="preserve"> </w:t>
      </w:r>
      <w:proofErr w:type="spellStart"/>
      <w:r w:rsidRPr="00B76AEC">
        <w:rPr>
          <w:rFonts w:ascii="Verdana" w:eastAsia="Times New Roman" w:hAnsi="Verdana" w:cs="Calibri"/>
          <w:color w:val="222222"/>
          <w:shd w:val="clear" w:color="auto" w:fill="FFFFFF"/>
          <w:lang w:eastAsia="pt-PT"/>
        </w:rPr>
        <w:t>Luis</w:t>
      </w:r>
      <w:proofErr w:type="spellEnd"/>
      <w:r w:rsidRPr="00B76AEC">
        <w:rPr>
          <w:rFonts w:ascii="Verdana" w:eastAsia="Times New Roman" w:hAnsi="Verdana" w:cs="Calibri"/>
          <w:color w:val="222222"/>
          <w:shd w:val="clear" w:color="auto" w:fill="FFFFFF"/>
          <w:lang w:eastAsia="pt-PT"/>
        </w:rPr>
        <w:t xml:space="preserve"> </w:t>
      </w:r>
      <w:proofErr w:type="spellStart"/>
      <w:r w:rsidRPr="00B76AEC">
        <w:rPr>
          <w:rFonts w:ascii="Verdana" w:eastAsia="Times New Roman" w:hAnsi="Verdana" w:cs="Calibri"/>
          <w:color w:val="222222"/>
          <w:shd w:val="clear" w:color="auto" w:fill="FFFFFF"/>
          <w:lang w:eastAsia="pt-PT"/>
        </w:rPr>
        <w:t>Seonane</w:t>
      </w:r>
      <w:proofErr w:type="spellEnd"/>
      <w:r w:rsidRPr="00B76AEC">
        <w:rPr>
          <w:rFonts w:ascii="Verdana" w:eastAsia="Times New Roman" w:hAnsi="Verdana" w:cs="Calibri"/>
          <w:color w:val="222222"/>
          <w:shd w:val="clear" w:color="auto" w:fill="FFFFFF"/>
          <w:lang w:eastAsia="pt-PT"/>
        </w:rPr>
        <w:t xml:space="preserve">, A </w:t>
      </w:r>
      <w:proofErr w:type="spellStart"/>
      <w:r w:rsidRPr="00B76AEC">
        <w:rPr>
          <w:rFonts w:ascii="Verdana" w:eastAsia="Times New Roman" w:hAnsi="Verdana" w:cs="Calibri"/>
          <w:color w:val="222222"/>
          <w:shd w:val="clear" w:color="auto" w:fill="FFFFFF"/>
          <w:lang w:eastAsia="pt-PT"/>
        </w:rPr>
        <w:t>Coruña</w:t>
      </w:r>
      <w:proofErr w:type="spellEnd"/>
      <w:r w:rsidRPr="00B76AEC">
        <w:rPr>
          <w:rFonts w:ascii="Verdana" w:eastAsia="Times New Roman" w:hAnsi="Verdana" w:cs="Calibri"/>
          <w:color w:val="222222"/>
          <w:shd w:val="clear" w:color="auto" w:fill="FFFFFF"/>
          <w:lang w:eastAsia="pt-PT"/>
        </w:rPr>
        <w:t>, 2011.</w:t>
      </w:r>
      <w:r w:rsidRPr="00B76AEC">
        <w:rPr>
          <w:rFonts w:ascii="Verdana" w:eastAsia="Times New Roman" w:hAnsi="Verdana" w:cs="Arial"/>
          <w:color w:val="222222"/>
          <w:lang w:eastAsia="pt-PT"/>
        </w:rPr>
        <w:t> </w:t>
      </w:r>
    </w:p>
    <w:sectPr w:rsidR="00B76AEC" w:rsidRPr="00B76AEC" w:rsidSect="00A63E3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B76AEC"/>
    <w:rsid w:val="0024012E"/>
    <w:rsid w:val="00A63E30"/>
    <w:rsid w:val="00B76AEC"/>
    <w:rsid w:val="00C11DF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6AEC"/>
  </w:style>
  <w:style w:type="character" w:styleId="Hyperlink">
    <w:name w:val="Hyperlink"/>
    <w:basedOn w:val="DefaultParagraphFont"/>
    <w:uiPriority w:val="99"/>
    <w:semiHidden/>
    <w:unhideWhenUsed/>
    <w:rsid w:val="00B76AEC"/>
    <w:rPr>
      <w:color w:val="0000FF"/>
      <w:u w:val="single"/>
    </w:rPr>
  </w:style>
</w:styles>
</file>

<file path=word/webSettings.xml><?xml version="1.0" encoding="utf-8"?>
<w:webSettings xmlns:r="http://schemas.openxmlformats.org/officeDocument/2006/relationships" xmlns:w="http://schemas.openxmlformats.org/wordprocessingml/2006/main">
  <w:divs>
    <w:div w:id="711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gc.gulbenkian.pt/" TargetMode="External"/><Relationship Id="rId4" Type="http://schemas.openxmlformats.org/officeDocument/2006/relationships/hyperlink" Target="http://www.igc.gulbenkian.pt/research/unit/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890</Words>
  <Characters>4811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dcterms:created xsi:type="dcterms:W3CDTF">2012-11-14T19:17:00Z</dcterms:created>
  <dcterms:modified xsi:type="dcterms:W3CDTF">2012-11-14T19:20:00Z</dcterms:modified>
</cp:coreProperties>
</file>