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Default="0010383C">
      <w:pPr>
        <w:rPr>
          <w:sz w:val="28"/>
          <w:szCs w:val="28"/>
        </w:rPr>
      </w:pPr>
      <w:r>
        <w:rPr>
          <w:sz w:val="28"/>
          <w:szCs w:val="28"/>
        </w:rPr>
        <w:t>“</w:t>
      </w:r>
      <w:r w:rsidR="00D0131D" w:rsidRPr="005B74AC">
        <w:rPr>
          <w:sz w:val="28"/>
          <w:szCs w:val="28"/>
        </w:rPr>
        <w:t>O número de ouro</w:t>
      </w:r>
      <w:r>
        <w:rPr>
          <w:sz w:val="28"/>
          <w:szCs w:val="28"/>
        </w:rPr>
        <w:t>”</w:t>
      </w:r>
    </w:p>
    <w:p w:rsidR="00015486" w:rsidRDefault="00015486">
      <w:pPr>
        <w:rPr>
          <w:sz w:val="28"/>
          <w:szCs w:val="28"/>
        </w:rPr>
      </w:pPr>
    </w:p>
    <w:p w:rsidR="00D0131D" w:rsidRPr="0051644C" w:rsidRDefault="00D0131D">
      <w:pPr>
        <w:rPr>
          <w:b/>
        </w:rPr>
      </w:pPr>
      <w:r w:rsidRPr="0051644C">
        <w:rPr>
          <w:b/>
        </w:rPr>
        <w:t>O que é que têm em comum a bela distribuição das pétalas de uma rosa, as esplendorosas conchas em espiral dos moluscos, o famoso quadro de Salvador Dali “o Sacramento da Última Ceia”</w:t>
      </w:r>
      <w:r w:rsidR="00FD26F0" w:rsidRPr="0051644C">
        <w:rPr>
          <w:b/>
        </w:rPr>
        <w:t xml:space="preserve">, </w:t>
      </w:r>
      <w:r w:rsidRPr="0051644C">
        <w:rPr>
          <w:b/>
        </w:rPr>
        <w:t>a reprodução dos coelhos</w:t>
      </w:r>
      <w:r w:rsidR="00FD26F0" w:rsidRPr="0051644C">
        <w:rPr>
          <w:b/>
        </w:rPr>
        <w:t xml:space="preserve"> e a forma das galáxias</w:t>
      </w:r>
      <w:r w:rsidRPr="0051644C">
        <w:rPr>
          <w:b/>
        </w:rPr>
        <w:t xml:space="preserve">? </w:t>
      </w:r>
      <w:r w:rsidR="00EC431D" w:rsidRPr="0051644C">
        <w:rPr>
          <w:b/>
        </w:rPr>
        <w:t xml:space="preserve">O </w:t>
      </w:r>
      <w:r w:rsidRPr="0051644C">
        <w:rPr>
          <w:b/>
        </w:rPr>
        <w:t>“número de ouro”.</w:t>
      </w:r>
    </w:p>
    <w:p w:rsidR="00D0131D" w:rsidRDefault="00D0131D">
      <w:r>
        <w:t>O “número de ouro”, igual a 1,6180339887…</w:t>
      </w:r>
      <w:proofErr w:type="gramStart"/>
      <w:r>
        <w:t>(uma</w:t>
      </w:r>
      <w:proofErr w:type="gramEnd"/>
      <w:r>
        <w:t xml:space="preserve"> dizima infinita não periódica) é </w:t>
      </w:r>
      <w:r w:rsidR="00B21100">
        <w:t>comummente identificado</w:t>
      </w:r>
      <w:r>
        <w:t xml:space="preserve"> </w:t>
      </w:r>
      <w:r w:rsidR="00B21100">
        <w:t>pela letra grega fi (</w:t>
      </w:r>
      <w:r w:rsidR="00B21100">
        <w:rPr>
          <w:rFonts w:cstheme="minorHAnsi"/>
        </w:rPr>
        <w:t>ϕ</w:t>
      </w:r>
      <w:r w:rsidR="00B21100">
        <w:t xml:space="preserve">), a primeira letra do nome Fídias, escultor grego (c. 490 a c. 430 a.C.) cujas esculturas terão sido </w:t>
      </w:r>
      <w:r w:rsidR="0010383C">
        <w:t>supostamente</w:t>
      </w:r>
      <w:r w:rsidR="00B21100">
        <w:t xml:space="preserve"> influenciadas pela proporção indicada pelo “número de ouro”</w:t>
      </w:r>
      <w:r w:rsidR="0010383C">
        <w:t>.</w:t>
      </w:r>
      <w:r>
        <w:t xml:space="preserve"> </w:t>
      </w:r>
    </w:p>
    <w:p w:rsidR="00B21100" w:rsidRDefault="00B21100">
      <w:r>
        <w:t>Esta ligação entre a matemática e as artes é muito mais comum e antiga do que normalmente temos presente</w:t>
      </w:r>
      <w:r w:rsidR="00E74A30">
        <w:t>, remontando seguramente à civilização jónica</w:t>
      </w:r>
      <w:r>
        <w:t xml:space="preserve">. </w:t>
      </w:r>
      <w:r w:rsidR="0010383C">
        <w:t>O</w:t>
      </w:r>
      <w:r>
        <w:t xml:space="preserve"> “número de ouro” tem fascinado não só artistas plásticos mas também biólogos,</w:t>
      </w:r>
      <w:r w:rsidR="00E74A30">
        <w:t xml:space="preserve"> físicos, astrónomos,</w:t>
      </w:r>
      <w:r>
        <w:t xml:space="preserve"> músicos, historiadores, </w:t>
      </w:r>
      <w:proofErr w:type="spellStart"/>
      <w:r>
        <w:t>arquitectos</w:t>
      </w:r>
      <w:proofErr w:type="spellEnd"/>
      <w:r>
        <w:t>, psicólogos, filósofos, místicos, entre outros. De facto o mistério da frequência com que este número apa</w:t>
      </w:r>
      <w:r w:rsidR="0010383C">
        <w:t xml:space="preserve">rece ao longo da vida inspirou e influenciou </w:t>
      </w:r>
      <w:r>
        <w:t>pensadores de todas as</w:t>
      </w:r>
      <w:r w:rsidR="0010383C">
        <w:t xml:space="preserve"> disciplinas como nenhum outro n</w:t>
      </w:r>
      <w:r>
        <w:t>a história da matemática.</w:t>
      </w:r>
    </w:p>
    <w:p w:rsidR="00FD26F0" w:rsidRDefault="0010383C">
      <w:r>
        <w:t>O “Número de O</w:t>
      </w:r>
      <w:r w:rsidR="00B21100">
        <w:t xml:space="preserve">uro” é também o título no novo volume </w:t>
      </w:r>
      <w:r w:rsidR="00E74A30">
        <w:t xml:space="preserve">(nº 195) </w:t>
      </w:r>
      <w:r w:rsidR="00B21100">
        <w:t xml:space="preserve">da incontornável </w:t>
      </w:r>
      <w:proofErr w:type="spellStart"/>
      <w:r w:rsidR="00B21100">
        <w:t>colecção</w:t>
      </w:r>
      <w:proofErr w:type="spellEnd"/>
      <w:r w:rsidR="00B21100">
        <w:t xml:space="preserve"> “Ciência </w:t>
      </w:r>
      <w:proofErr w:type="spellStart"/>
      <w:r w:rsidR="00B21100">
        <w:t>Abreta</w:t>
      </w:r>
      <w:proofErr w:type="spellEnd"/>
      <w:r w:rsidR="00B21100">
        <w:t xml:space="preserve">”, da </w:t>
      </w:r>
      <w:r w:rsidR="00E74A30">
        <w:t xml:space="preserve">editora </w:t>
      </w:r>
      <w:r w:rsidR="00B21100">
        <w:t>Gradiva</w:t>
      </w:r>
      <w:r w:rsidR="00E74A30">
        <w:t xml:space="preserve"> que o acaba de publicar. Com a autoria do astrofísico </w:t>
      </w:r>
      <w:proofErr w:type="spellStart"/>
      <w:r w:rsidR="00E74A30">
        <w:t>Mario</w:t>
      </w:r>
      <w:proofErr w:type="spellEnd"/>
      <w:r w:rsidR="00E74A30">
        <w:t xml:space="preserve"> </w:t>
      </w:r>
      <w:proofErr w:type="spellStart"/>
      <w:r w:rsidR="00E74A30">
        <w:t>Livio</w:t>
      </w:r>
      <w:proofErr w:type="spellEnd"/>
      <w:r w:rsidR="00E74A30">
        <w:t xml:space="preserve"> (do Instituto de Ciência</w:t>
      </w:r>
      <w:r>
        <w:t xml:space="preserve"> do Telescópio Espacial Hubble), </w:t>
      </w:r>
      <w:r w:rsidR="00E74A30">
        <w:t xml:space="preserve">“O Número de Ouro – a história de </w:t>
      </w:r>
      <w:r w:rsidR="00E74A30">
        <w:rPr>
          <w:rFonts w:cstheme="minorHAnsi"/>
        </w:rPr>
        <w:t>Φ</w:t>
      </w:r>
      <w:r w:rsidR="00E74A30">
        <w:t xml:space="preserve"> , o número mais assombroso do mundo”</w:t>
      </w:r>
      <w:proofErr w:type="gramStart"/>
      <w:r w:rsidR="00E74A30">
        <w:t>,</w:t>
      </w:r>
      <w:proofErr w:type="gramEnd"/>
      <w:r w:rsidR="00E74A30">
        <w:t xml:space="preserve"> recebeu o Prémio Internacional Pitágoras – </w:t>
      </w:r>
      <w:proofErr w:type="spellStart"/>
      <w:r w:rsidR="00E74A30">
        <w:t>Peano</w:t>
      </w:r>
      <w:proofErr w:type="spellEnd"/>
      <w:r w:rsidR="00E74A30">
        <w:t xml:space="preserve"> - para melhor livro de divulgação matemática. Este livro é </w:t>
      </w:r>
      <w:r>
        <w:t xml:space="preserve">de facto </w:t>
      </w:r>
      <w:r w:rsidR="00E74A30">
        <w:t xml:space="preserve">fascinante e </w:t>
      </w:r>
      <w:r>
        <w:t>está escrito de uma forma muito</w:t>
      </w:r>
      <w:r w:rsidR="00E74A30">
        <w:t xml:space="preserve"> cativante. </w:t>
      </w:r>
    </w:p>
    <w:p w:rsidR="00AC1ACC" w:rsidRDefault="00E74A30">
      <w:proofErr w:type="spellStart"/>
      <w:r>
        <w:t>Mario</w:t>
      </w:r>
      <w:proofErr w:type="spellEnd"/>
      <w:r>
        <w:t xml:space="preserve"> </w:t>
      </w:r>
      <w:proofErr w:type="spellStart"/>
      <w:r>
        <w:t>Livio</w:t>
      </w:r>
      <w:proofErr w:type="spellEnd"/>
      <w:r>
        <w:t xml:space="preserve"> vai muito para além de descrever as propriedades matemáticas, geométricas, associadas ao número de ouro. </w:t>
      </w:r>
      <w:r w:rsidR="0010383C">
        <w:t xml:space="preserve">Ao longo de nove capítulos (1 - Prelúdio a um número; 2 - A frequência e o pentagrama; 3 - Debaixo de uma pirâmide a apontar para as </w:t>
      </w:r>
      <w:proofErr w:type="gramStart"/>
      <w:r w:rsidR="0010383C">
        <w:t>estrelas?;</w:t>
      </w:r>
      <w:proofErr w:type="gramEnd"/>
      <w:r w:rsidR="0010383C">
        <w:t xml:space="preserve"> 4 - O segundo tesouro; 5 - Filho afortunado; 6 - A divina proporção; 7 - A liberdade poética também é um direito dos pintores; 8 - Dos mosaicos aos céus; 9 - Deus será matemático?), o</w:t>
      </w:r>
      <w:r>
        <w:t xml:space="preserve"> autor guia-nos através da história da matemática e da humanidade, numa linguagem sóbria e fluída, contida no entusiasmo que o </w:t>
      </w:r>
      <w:r w:rsidR="00105301">
        <w:t xml:space="preserve">número desperta constantemente. </w:t>
      </w:r>
    </w:p>
    <w:p w:rsidR="00AA629D" w:rsidRDefault="00105301">
      <w:proofErr w:type="spellStart"/>
      <w:r>
        <w:t>Mari</w:t>
      </w:r>
      <w:r w:rsidR="00AA629D">
        <w:t>o</w:t>
      </w:r>
      <w:proofErr w:type="spellEnd"/>
      <w:r w:rsidR="00AA629D">
        <w:t xml:space="preserve"> </w:t>
      </w:r>
      <w:proofErr w:type="spellStart"/>
      <w:r w:rsidR="00AA629D">
        <w:t>Livio</w:t>
      </w:r>
      <w:proofErr w:type="spellEnd"/>
      <w:r w:rsidR="00AA629D">
        <w:t xml:space="preserve"> desmistifica e desmonta inúmeras associações</w:t>
      </w:r>
      <w:r>
        <w:t>, forçadas</w:t>
      </w:r>
      <w:r w:rsidR="00AA629D">
        <w:t xml:space="preserve">, </w:t>
      </w:r>
      <w:r>
        <w:t>erradas</w:t>
      </w:r>
      <w:r w:rsidR="00AA629D">
        <w:t>, documentadas em fontes dúbias ou mesmo inexistentes</w:t>
      </w:r>
      <w:r>
        <w:t>,</w:t>
      </w:r>
      <w:r w:rsidR="00AA629D">
        <w:t xml:space="preserve"> e</w:t>
      </w:r>
      <w:r>
        <w:t xml:space="preserve"> que existem na literatura sobre a presença do “número de ouro” em várias obras de arte e </w:t>
      </w:r>
      <w:proofErr w:type="spellStart"/>
      <w:r>
        <w:t>arquitectónicas</w:t>
      </w:r>
      <w:proofErr w:type="spellEnd"/>
      <w:r w:rsidR="00AA629D">
        <w:t xml:space="preserve"> da história da humanidade.</w:t>
      </w:r>
      <w:r>
        <w:t xml:space="preserve"> </w:t>
      </w:r>
      <w:r w:rsidR="00AA629D">
        <w:t>Através de uma análise rigorosa às fontes e aos argumentos que vários autores usaram ao longo da história do “número de ouro”, o autor deste livro eleva-nos ao interesse genuíno sobre o este número de forma</w:t>
      </w:r>
      <w:r w:rsidR="00E74A30">
        <w:t xml:space="preserve"> arrebatadora</w:t>
      </w:r>
      <w:r w:rsidR="00AA629D">
        <w:t xml:space="preserve"> e despojada de falsa ciência</w:t>
      </w:r>
      <w:r w:rsidR="00E74A30">
        <w:t xml:space="preserve">. </w:t>
      </w:r>
    </w:p>
    <w:p w:rsidR="00D0131D" w:rsidRDefault="00AA629D">
      <w:r>
        <w:t>O</w:t>
      </w:r>
      <w:r w:rsidR="00E74A30">
        <w:t xml:space="preserve"> astrofísico </w:t>
      </w:r>
      <w:r>
        <w:t>escreve no primeiro capítulo do livro (Prelúdio a um número)</w:t>
      </w:r>
      <w:r w:rsidR="00FD26F0">
        <w:t xml:space="preserve"> </w:t>
      </w:r>
      <w:r>
        <w:t xml:space="preserve">que </w:t>
      </w:r>
      <w:r w:rsidR="00FD26F0">
        <w:t xml:space="preserve">o </w:t>
      </w:r>
      <w:proofErr w:type="spellStart"/>
      <w:r w:rsidR="00FD26F0">
        <w:t>objectivo</w:t>
      </w:r>
      <w:proofErr w:type="spellEnd"/>
      <w:r w:rsidR="00FD26F0">
        <w:t xml:space="preserve"> de nos ajudar a obter alguns conhecimentos sobre as bases daquilo a chama a “numerologia de ouro” assim como </w:t>
      </w:r>
      <w:r>
        <w:t xml:space="preserve">o de </w:t>
      </w:r>
      <w:r w:rsidR="00FD26F0">
        <w:t>transmitir o lado humano que sempre esteve presente na história deste número</w:t>
      </w:r>
      <w:r>
        <w:t>, norteou a sua escrita</w:t>
      </w:r>
      <w:r w:rsidR="00FD26F0">
        <w:t>.</w:t>
      </w:r>
    </w:p>
    <w:p w:rsidR="00FD26F0" w:rsidRDefault="00FD26F0">
      <w:r>
        <w:lastRenderedPageBreak/>
        <w:t xml:space="preserve">Para </w:t>
      </w:r>
      <w:r w:rsidR="00AA629D">
        <w:t xml:space="preserve">Roger </w:t>
      </w:r>
      <w:proofErr w:type="spellStart"/>
      <w:r w:rsidR="00AA629D">
        <w:t>Penrose</w:t>
      </w:r>
      <w:proofErr w:type="spellEnd"/>
      <w:r w:rsidR="00AA629D">
        <w:t xml:space="preserve">, emérito </w:t>
      </w:r>
      <w:r>
        <w:t>matem</w:t>
      </w:r>
      <w:r w:rsidR="00AA629D">
        <w:t>ático da Universidade de Oxford</w:t>
      </w:r>
      <w:r>
        <w:t>, este livro é “um trampolim maravilhoso para o extraordinário mundo da matemática e da sua relação com o mundo físico tal como encarado da Antiguidade aos tempos modernos”. De facto,</w:t>
      </w:r>
      <w:r w:rsidR="00027EF9">
        <w:t xml:space="preserve"> ao sabor de inúmeras histórias, e à “boleia” do “número de ouro”, </w:t>
      </w:r>
      <w:proofErr w:type="spellStart"/>
      <w:r>
        <w:t>Mario</w:t>
      </w:r>
      <w:proofErr w:type="spellEnd"/>
      <w:r>
        <w:t xml:space="preserve"> </w:t>
      </w:r>
      <w:proofErr w:type="spellStart"/>
      <w:r>
        <w:t>Livio</w:t>
      </w:r>
      <w:proofErr w:type="spellEnd"/>
      <w:r>
        <w:t xml:space="preserve"> consegue </w:t>
      </w:r>
      <w:r w:rsidR="00027EF9">
        <w:t>transmitir de forma simples inúmeros conceitos e elementos que são fundamentos de várias áreas da matemática. Ao descrever as propriedades implícitas no</w:t>
      </w:r>
      <w:r>
        <w:t xml:space="preserve"> “número de ouro”, </w:t>
      </w:r>
      <w:r w:rsidR="00027EF9">
        <w:t>faz um apelo à</w:t>
      </w:r>
      <w:r>
        <w:t xml:space="preserve"> nossa atenção para </w:t>
      </w:r>
      <w:r w:rsidR="00027EF9">
        <w:t xml:space="preserve">mundo à nossa volta e usa a matemática para salientar </w:t>
      </w:r>
      <w:r>
        <w:t xml:space="preserve">a </w:t>
      </w:r>
      <w:r w:rsidR="00027EF9">
        <w:t xml:space="preserve">sua </w:t>
      </w:r>
      <w:r>
        <w:t xml:space="preserve">beleza e </w:t>
      </w:r>
      <w:r w:rsidR="00027EF9">
        <w:t xml:space="preserve">o </w:t>
      </w:r>
      <w:r>
        <w:t>fascínio</w:t>
      </w:r>
      <w:r w:rsidR="00027EF9">
        <w:t>, o espanto,</w:t>
      </w:r>
      <w:r>
        <w:t xml:space="preserve"> que as coisas misteriosas sempre despertaram na mente humana. Recomendável</w:t>
      </w:r>
      <w:r w:rsidR="005B74AC">
        <w:t>, ou mesmo</w:t>
      </w:r>
      <w:r>
        <w:t xml:space="preserve"> imprescindível</w:t>
      </w:r>
      <w:r w:rsidR="005B74AC">
        <w:t>,</w:t>
      </w:r>
      <w:r>
        <w:t xml:space="preserve"> para</w:t>
      </w:r>
      <w:r w:rsidR="005B74AC">
        <w:t xml:space="preserve"> mostrar o quanto a matemática </w:t>
      </w:r>
      <w:r w:rsidR="00027EF9">
        <w:t xml:space="preserve">é útil para o conhecimento do cosmos e como ela </w:t>
      </w:r>
      <w:r w:rsidR="005B74AC">
        <w:t xml:space="preserve">está presente na </w:t>
      </w:r>
      <w:r w:rsidR="00027EF9">
        <w:t>sua beleza</w:t>
      </w:r>
      <w:r w:rsidR="005B74AC">
        <w:t>.</w:t>
      </w:r>
    </w:p>
    <w:p w:rsidR="005B74AC" w:rsidRDefault="005B74AC"/>
    <w:p w:rsidR="005B74AC" w:rsidRDefault="005B74AC">
      <w:r>
        <w:t>António Piedade</w:t>
      </w:r>
    </w:p>
    <w:p w:rsidR="00015486" w:rsidRDefault="00015486"/>
    <w:p w:rsidR="00015486" w:rsidRDefault="00015486">
      <w:r>
        <w:t>Ciência na Imprensa Regional – Ciência na Imprensa Regional</w:t>
      </w:r>
    </w:p>
    <w:p w:rsidR="00015486" w:rsidRDefault="00015486"/>
    <w:p w:rsidR="00BD05FE" w:rsidRDefault="00BD05FE"/>
    <w:p w:rsidR="00BD05FE" w:rsidRDefault="00BD05FE">
      <w:r>
        <w:t>Ficha bibliográfica:</w:t>
      </w:r>
    </w:p>
    <w:p w:rsidR="00015486" w:rsidRPr="00015486" w:rsidRDefault="00015486" w:rsidP="0001548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pt-PT"/>
        </w:rPr>
      </w:pPr>
      <w:r w:rsidRPr="00015486">
        <w:rPr>
          <w:rFonts w:eastAsia="Times New Roman" w:cstheme="minorHAnsi"/>
          <w:b/>
          <w:bCs/>
          <w:lang w:eastAsia="pt-PT"/>
        </w:rPr>
        <w:t>O Número de Ouro</w:t>
      </w:r>
      <w:r>
        <w:rPr>
          <w:rFonts w:eastAsia="Times New Roman" w:cstheme="minorHAnsi"/>
          <w:b/>
          <w:bCs/>
          <w:lang w:eastAsia="pt-PT"/>
        </w:rPr>
        <w:t xml:space="preserve"> - </w:t>
      </w:r>
      <w:r w:rsidRPr="00015486">
        <w:rPr>
          <w:rFonts w:eastAsia="Times New Roman" w:cstheme="minorHAnsi"/>
          <w:b/>
          <w:bCs/>
          <w:lang w:eastAsia="pt-PT"/>
        </w:rPr>
        <w:t>A história de Fi, o número mais assombroso do mundo</w:t>
      </w:r>
    </w:p>
    <w:p w:rsidR="00015486" w:rsidRPr="00015486" w:rsidRDefault="00015486" w:rsidP="00015486">
      <w:pPr>
        <w:shd w:val="clear" w:color="auto" w:fill="FFFFFF"/>
        <w:spacing w:after="0" w:line="240" w:lineRule="auto"/>
        <w:rPr>
          <w:rFonts w:eastAsia="Times New Roman" w:cstheme="minorHAnsi"/>
          <w:lang w:eastAsia="pt-PT"/>
        </w:rPr>
      </w:pPr>
      <w:r w:rsidRPr="00015486">
        <w:rPr>
          <w:rFonts w:eastAsia="Times New Roman" w:cstheme="minorHAnsi"/>
          <w:lang w:eastAsia="pt-PT"/>
        </w:rPr>
        <w:t>Autor: </w:t>
      </w:r>
      <w:proofErr w:type="spellStart"/>
      <w:r w:rsidRPr="00015486">
        <w:rPr>
          <w:rFonts w:eastAsia="Times New Roman" w:cstheme="minorHAnsi"/>
          <w:lang w:eastAsia="pt-PT"/>
        </w:rPr>
        <w:fldChar w:fldCharType="begin"/>
      </w:r>
      <w:r w:rsidRPr="00015486">
        <w:rPr>
          <w:rFonts w:eastAsia="Times New Roman" w:cstheme="minorHAnsi"/>
          <w:lang w:eastAsia="pt-PT"/>
        </w:rPr>
        <w:instrText xml:space="preserve"> HYPERLINK "http://www.gradiva.pt/?q=N/SEARCHBOOKS/94&amp;sType=AUTHORID&amp;maid=1194" </w:instrText>
      </w:r>
      <w:r w:rsidRPr="00015486">
        <w:rPr>
          <w:rFonts w:eastAsia="Times New Roman" w:cstheme="minorHAnsi"/>
          <w:lang w:eastAsia="pt-PT"/>
        </w:rPr>
        <w:fldChar w:fldCharType="separate"/>
      </w:r>
      <w:r w:rsidRPr="00015486">
        <w:rPr>
          <w:rFonts w:eastAsia="Times New Roman" w:cstheme="minorHAnsi"/>
          <w:lang w:eastAsia="pt-PT"/>
        </w:rPr>
        <w:t>Mario</w:t>
      </w:r>
      <w:proofErr w:type="spellEnd"/>
      <w:r w:rsidRPr="00015486">
        <w:rPr>
          <w:rFonts w:eastAsia="Times New Roman" w:cstheme="minorHAnsi"/>
          <w:lang w:eastAsia="pt-PT"/>
        </w:rPr>
        <w:t xml:space="preserve"> </w:t>
      </w:r>
      <w:proofErr w:type="spellStart"/>
      <w:r w:rsidRPr="00015486">
        <w:rPr>
          <w:rFonts w:eastAsia="Times New Roman" w:cstheme="minorHAnsi"/>
          <w:lang w:eastAsia="pt-PT"/>
        </w:rPr>
        <w:t>Livio</w:t>
      </w:r>
      <w:proofErr w:type="spellEnd"/>
      <w:r w:rsidRPr="00015486">
        <w:rPr>
          <w:rFonts w:eastAsia="Times New Roman" w:cstheme="minorHAnsi"/>
          <w:lang w:eastAsia="pt-PT"/>
        </w:rPr>
        <w:fldChar w:fldCharType="end"/>
      </w:r>
    </w:p>
    <w:p w:rsidR="00015486" w:rsidRPr="00015486" w:rsidRDefault="00015486" w:rsidP="00015486">
      <w:pPr>
        <w:shd w:val="clear" w:color="auto" w:fill="FFFFFF"/>
        <w:spacing w:after="0" w:line="240" w:lineRule="auto"/>
        <w:rPr>
          <w:rFonts w:eastAsia="Times New Roman" w:cstheme="minorHAnsi"/>
          <w:lang w:eastAsia="pt-PT"/>
        </w:rPr>
      </w:pPr>
      <w:r w:rsidRPr="00015486">
        <w:rPr>
          <w:rFonts w:eastAsia="Times New Roman" w:cstheme="minorHAnsi"/>
          <w:lang w:eastAsia="pt-PT"/>
        </w:rPr>
        <w:t>Editora: Gradiva</w:t>
      </w:r>
    </w:p>
    <w:p w:rsidR="00015486" w:rsidRPr="00015486" w:rsidRDefault="00015486" w:rsidP="00015486">
      <w:pPr>
        <w:shd w:val="clear" w:color="auto" w:fill="FFFFFF"/>
        <w:spacing w:after="0" w:line="240" w:lineRule="auto"/>
        <w:rPr>
          <w:rFonts w:eastAsia="Times New Roman" w:cstheme="minorHAnsi"/>
          <w:lang w:eastAsia="pt-PT"/>
        </w:rPr>
      </w:pPr>
      <w:proofErr w:type="spellStart"/>
      <w:r w:rsidRPr="00015486">
        <w:rPr>
          <w:rFonts w:eastAsia="Times New Roman" w:cstheme="minorHAnsi"/>
          <w:lang w:eastAsia="pt-PT"/>
        </w:rPr>
        <w:t>Colecção</w:t>
      </w:r>
      <w:proofErr w:type="spellEnd"/>
      <w:r w:rsidRPr="00015486">
        <w:rPr>
          <w:rFonts w:eastAsia="Times New Roman" w:cstheme="minorHAnsi"/>
          <w:lang w:eastAsia="pt-PT"/>
        </w:rPr>
        <w:t xml:space="preserve">: Ciência </w:t>
      </w:r>
      <w:r w:rsidR="00BD05FE" w:rsidRPr="00015486">
        <w:rPr>
          <w:rFonts w:eastAsia="Times New Roman" w:cstheme="minorHAnsi"/>
          <w:lang w:eastAsia="pt-PT"/>
        </w:rPr>
        <w:t>Aberta</w:t>
      </w:r>
    </w:p>
    <w:p w:rsidR="00015486" w:rsidRPr="00015486" w:rsidRDefault="00015486" w:rsidP="00015486">
      <w:pPr>
        <w:shd w:val="clear" w:color="auto" w:fill="FFFFFF"/>
        <w:spacing w:after="0" w:line="240" w:lineRule="auto"/>
        <w:rPr>
          <w:rFonts w:eastAsia="Times New Roman" w:cstheme="minorHAnsi"/>
          <w:lang w:eastAsia="pt-PT"/>
        </w:rPr>
      </w:pPr>
      <w:r w:rsidRPr="00015486">
        <w:rPr>
          <w:rFonts w:eastAsia="Times New Roman" w:cstheme="minorHAnsi"/>
          <w:lang w:eastAsia="pt-PT"/>
        </w:rPr>
        <w:t>Páginas: </w:t>
      </w:r>
      <w:r w:rsidRPr="00015486">
        <w:rPr>
          <w:rFonts w:eastAsia="Times New Roman" w:cstheme="minorHAnsi"/>
          <w:b/>
          <w:bCs/>
          <w:lang w:eastAsia="pt-PT"/>
        </w:rPr>
        <w:t>392</w:t>
      </w:r>
    </w:p>
    <w:p w:rsidR="00015486" w:rsidRPr="00015486" w:rsidRDefault="00015486" w:rsidP="00015486">
      <w:pPr>
        <w:shd w:val="clear" w:color="auto" w:fill="FFFFFF"/>
        <w:spacing w:after="0" w:line="240" w:lineRule="auto"/>
        <w:rPr>
          <w:rFonts w:eastAsia="Times New Roman" w:cstheme="minorHAnsi"/>
          <w:lang w:eastAsia="pt-PT"/>
        </w:rPr>
      </w:pPr>
      <w:r w:rsidRPr="00015486">
        <w:rPr>
          <w:rFonts w:eastAsia="Times New Roman" w:cstheme="minorHAnsi"/>
          <w:lang w:eastAsia="pt-PT"/>
        </w:rPr>
        <w:t>Ano de edição: </w:t>
      </w:r>
      <w:r w:rsidRPr="00015486">
        <w:rPr>
          <w:rFonts w:eastAsia="Times New Roman" w:cstheme="minorHAnsi"/>
          <w:b/>
          <w:bCs/>
          <w:lang w:eastAsia="pt-PT"/>
        </w:rPr>
        <w:t>2012</w:t>
      </w:r>
    </w:p>
    <w:p w:rsidR="00015486" w:rsidRPr="00015486" w:rsidRDefault="00015486" w:rsidP="00015486">
      <w:pPr>
        <w:shd w:val="clear" w:color="auto" w:fill="FFFFFF"/>
        <w:spacing w:after="0" w:line="240" w:lineRule="auto"/>
        <w:rPr>
          <w:rFonts w:eastAsia="Times New Roman" w:cstheme="minorHAnsi"/>
          <w:lang w:eastAsia="pt-PT"/>
        </w:rPr>
      </w:pPr>
      <w:r w:rsidRPr="00015486">
        <w:rPr>
          <w:rFonts w:eastAsia="Times New Roman" w:cstheme="minorHAnsi"/>
          <w:lang w:eastAsia="pt-PT"/>
        </w:rPr>
        <w:t>ISBN: </w:t>
      </w:r>
      <w:r w:rsidRPr="00015486">
        <w:rPr>
          <w:rFonts w:eastAsia="Times New Roman" w:cstheme="minorHAnsi"/>
          <w:b/>
          <w:bCs/>
          <w:lang w:eastAsia="pt-PT"/>
        </w:rPr>
        <w:t>978-989-616-496-6</w:t>
      </w:r>
    </w:p>
    <w:p w:rsidR="00015486" w:rsidRDefault="00015486" w:rsidP="00015486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lang w:eastAsia="pt-PT"/>
        </w:rPr>
      </w:pPr>
      <w:r w:rsidRPr="00015486">
        <w:rPr>
          <w:rFonts w:eastAsia="Times New Roman" w:cstheme="minorHAnsi"/>
          <w:lang w:eastAsia="pt-PT"/>
        </w:rPr>
        <w:t>Capa: </w:t>
      </w:r>
      <w:r w:rsidRPr="00015486">
        <w:rPr>
          <w:rFonts w:eastAsia="Times New Roman" w:cstheme="minorHAnsi"/>
          <w:b/>
          <w:bCs/>
          <w:lang w:eastAsia="pt-PT"/>
        </w:rPr>
        <w:t>Brochado (capa mole)</w:t>
      </w:r>
    </w:p>
    <w:p w:rsidR="00015486" w:rsidRPr="00015486" w:rsidRDefault="00015486" w:rsidP="00015486">
      <w:pPr>
        <w:shd w:val="clear" w:color="auto" w:fill="FFFFFF"/>
        <w:spacing w:after="0" w:line="240" w:lineRule="auto"/>
        <w:rPr>
          <w:rFonts w:eastAsia="Times New Roman" w:cstheme="minorHAnsi"/>
          <w:lang w:eastAsia="pt-PT"/>
        </w:rPr>
      </w:pPr>
      <w:hyperlink r:id="rId4" w:history="1">
        <w:r>
          <w:rPr>
            <w:rStyle w:val="Hyperlink"/>
          </w:rPr>
          <w:t>http://www.gradiva.pt/?q=C/BOOKSSHOW/7108</w:t>
        </w:r>
      </w:hyperlink>
    </w:p>
    <w:p w:rsidR="00015486" w:rsidRDefault="00015486"/>
    <w:sectPr w:rsidR="00015486" w:rsidSect="00096A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D0131D"/>
    <w:rsid w:val="00002ADB"/>
    <w:rsid w:val="00015486"/>
    <w:rsid w:val="00027EF9"/>
    <w:rsid w:val="00096A42"/>
    <w:rsid w:val="0010383C"/>
    <w:rsid w:val="00105301"/>
    <w:rsid w:val="0024012E"/>
    <w:rsid w:val="0051644C"/>
    <w:rsid w:val="005B74AC"/>
    <w:rsid w:val="00AA629D"/>
    <w:rsid w:val="00AC1ACC"/>
    <w:rsid w:val="00B21100"/>
    <w:rsid w:val="00BD05FE"/>
    <w:rsid w:val="00C11DF3"/>
    <w:rsid w:val="00D0131D"/>
    <w:rsid w:val="00E74A30"/>
    <w:rsid w:val="00EC431D"/>
    <w:rsid w:val="00FD2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A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15486"/>
  </w:style>
  <w:style w:type="character" w:styleId="Hyperlink">
    <w:name w:val="Hyperlink"/>
    <w:basedOn w:val="DefaultParagraphFont"/>
    <w:uiPriority w:val="99"/>
    <w:semiHidden/>
    <w:unhideWhenUsed/>
    <w:rsid w:val="00015486"/>
    <w:rPr>
      <w:color w:val="0000FF"/>
      <w:u w:val="single"/>
    </w:rPr>
  </w:style>
  <w:style w:type="character" w:customStyle="1" w:styleId="bookinfodetails">
    <w:name w:val="bookinfodetails"/>
    <w:basedOn w:val="DefaultParagraphFont"/>
    <w:rsid w:val="000154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2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103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4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401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35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53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radiva.pt/?q=C/BOOKSSHOW/7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681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11</cp:revision>
  <dcterms:created xsi:type="dcterms:W3CDTF">2012-10-15T11:07:00Z</dcterms:created>
  <dcterms:modified xsi:type="dcterms:W3CDTF">2012-10-17T13:07:00Z</dcterms:modified>
</cp:coreProperties>
</file>