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D5C3E" w14:textId="706410EF" w:rsidR="00EA6DDB" w:rsidRPr="00EA6DDB" w:rsidRDefault="00EA6DDB" w:rsidP="00EA6D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val="pt-PT" w:eastAsia="pt-PT"/>
        </w:rPr>
      </w:pPr>
      <w:r w:rsidRPr="00EA6DDB">
        <w:rPr>
          <w:rFonts w:ascii="Helvetica" w:eastAsia="Times New Roman" w:hAnsi="Helvetica" w:cs="Helvetica"/>
          <w:b/>
          <w:bCs/>
          <w:color w:val="202020"/>
          <w:kern w:val="36"/>
          <w:sz w:val="33"/>
          <w:szCs w:val="33"/>
          <w:lang w:val="pt-PT" w:eastAsia="pt-PT"/>
        </w:rPr>
        <w:t xml:space="preserve">Recuperação de anfíbios </w:t>
      </w:r>
      <w:r w:rsidR="00643CDD">
        <w:rPr>
          <w:rFonts w:ascii="Helvetica" w:eastAsia="Times New Roman" w:hAnsi="Helvetica" w:cs="Helvetica"/>
          <w:b/>
          <w:bCs/>
          <w:color w:val="202020"/>
          <w:kern w:val="36"/>
          <w:sz w:val="33"/>
          <w:szCs w:val="33"/>
          <w:lang w:val="pt-PT" w:eastAsia="pt-PT"/>
        </w:rPr>
        <w:t>na Serra da Estrela</w:t>
      </w:r>
      <w:bookmarkStart w:id="0" w:name="_GoBack"/>
      <w:bookmarkEnd w:id="0"/>
      <w:r w:rsidR="005C5C7D">
        <w:rPr>
          <w:rFonts w:ascii="Helvetica" w:eastAsia="Times New Roman" w:hAnsi="Helvetica" w:cs="Helvetica"/>
          <w:b/>
          <w:bCs/>
          <w:color w:val="202020"/>
          <w:kern w:val="36"/>
          <w:sz w:val="33"/>
          <w:szCs w:val="33"/>
          <w:lang w:val="pt-PT" w:eastAsia="pt-PT"/>
        </w:rPr>
        <w:t xml:space="preserve"> </w:t>
      </w:r>
      <w:r w:rsidRPr="00EA6DDB">
        <w:rPr>
          <w:rFonts w:ascii="Helvetica" w:eastAsia="Times New Roman" w:hAnsi="Helvetica" w:cs="Helvetica"/>
          <w:b/>
          <w:bCs/>
          <w:color w:val="202020"/>
          <w:kern w:val="36"/>
          <w:sz w:val="33"/>
          <w:szCs w:val="33"/>
          <w:lang w:val="pt-PT" w:eastAsia="pt-PT"/>
        </w:rPr>
        <w:t>pode ser mais difícil do que se pensava</w:t>
      </w:r>
    </w:p>
    <w:p w14:paraId="2588C218" w14:textId="2F2F2A4A" w:rsidR="002C2BE2" w:rsidRPr="00EA6DDB" w:rsidRDefault="002C2BE2">
      <w:pPr>
        <w:rPr>
          <w:lang w:val="pt-PT"/>
        </w:rPr>
      </w:pPr>
    </w:p>
    <w:p w14:paraId="3F7623E3" w14:textId="324B8E7D" w:rsidR="00EA6DDB" w:rsidRPr="00EA6DDB" w:rsidRDefault="00EA6DDB">
      <w:pPr>
        <w:rPr>
          <w:lang w:val="pt-PT"/>
        </w:rPr>
      </w:pPr>
    </w:p>
    <w:p w14:paraId="72824D9A" w14:textId="77777777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O tritão-de-ventre-laranja (</w:t>
      </w:r>
      <w:proofErr w:type="spellStart"/>
      <w:r w:rsidRPr="00360CEB">
        <w:rPr>
          <w:sz w:val="24"/>
          <w:szCs w:val="24"/>
          <w:lang w:val="pt-PT"/>
        </w:rPr>
        <w:t>Lissotriton</w:t>
      </w:r>
      <w:proofErr w:type="spellEnd"/>
      <w:r w:rsidRPr="00360CEB">
        <w:rPr>
          <w:sz w:val="24"/>
          <w:szCs w:val="24"/>
          <w:lang w:val="pt-PT"/>
        </w:rPr>
        <w:t xml:space="preserve"> </w:t>
      </w:r>
      <w:proofErr w:type="spellStart"/>
      <w:r w:rsidRPr="00360CEB">
        <w:rPr>
          <w:sz w:val="24"/>
          <w:szCs w:val="24"/>
          <w:lang w:val="pt-PT"/>
        </w:rPr>
        <w:t>boscai</w:t>
      </w:r>
      <w:proofErr w:type="spellEnd"/>
      <w:r w:rsidRPr="00360CEB">
        <w:rPr>
          <w:sz w:val="24"/>
          <w:szCs w:val="24"/>
          <w:lang w:val="pt-PT"/>
        </w:rPr>
        <w:t xml:space="preserve">) é uma das espécies mais afetadas pela estirpe agressiva de </w:t>
      </w:r>
      <w:proofErr w:type="spellStart"/>
      <w:r w:rsidRPr="00360CEB">
        <w:rPr>
          <w:sz w:val="24"/>
          <w:szCs w:val="24"/>
          <w:lang w:val="pt-PT"/>
        </w:rPr>
        <w:t>ranavírus</w:t>
      </w:r>
      <w:proofErr w:type="spellEnd"/>
      <w:r w:rsidRPr="00360CEB">
        <w:rPr>
          <w:sz w:val="24"/>
          <w:szCs w:val="24"/>
          <w:lang w:val="pt-PT"/>
        </w:rPr>
        <w:t xml:space="preserve"> que tem causado a morte em massa de anfíbios na Serra da Estrela. Com base no estudo de populações desta espécie, um novo trabalho agora publicado na revista Animal </w:t>
      </w:r>
      <w:proofErr w:type="spellStart"/>
      <w:r w:rsidRPr="00360CEB">
        <w:rPr>
          <w:sz w:val="24"/>
          <w:szCs w:val="24"/>
          <w:lang w:val="pt-PT"/>
        </w:rPr>
        <w:t>Conservation</w:t>
      </w:r>
      <w:proofErr w:type="spellEnd"/>
      <w:r w:rsidRPr="00360CEB">
        <w:rPr>
          <w:sz w:val="24"/>
          <w:szCs w:val="24"/>
          <w:lang w:val="pt-PT"/>
        </w:rPr>
        <w:t xml:space="preserve"> revela que a recuperação destas populações pode ser mais difícil do que inicialmente se pensava, pelo facto de o número de fêmeas ter diminuído drasticamente e não existir ainda tratamento conhecido para este vírus.</w:t>
      </w:r>
    </w:p>
    <w:p w14:paraId="6152D0DB" w14:textId="77777777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 xml:space="preserve">Em 2011 foi detetado na Serra da Estrela o primeiro de uma série de surtos de </w:t>
      </w:r>
      <w:proofErr w:type="spellStart"/>
      <w:r w:rsidRPr="00360CEB">
        <w:rPr>
          <w:sz w:val="24"/>
          <w:szCs w:val="24"/>
          <w:lang w:val="pt-PT"/>
        </w:rPr>
        <w:t>ranavirose</w:t>
      </w:r>
      <w:proofErr w:type="spellEnd"/>
      <w:r w:rsidRPr="00360CEB">
        <w:rPr>
          <w:sz w:val="24"/>
          <w:szCs w:val="24"/>
          <w:lang w:val="pt-PT"/>
        </w:rPr>
        <w:t>, que têm causado o declínio acentuado de várias espécies de anfíbios. Em particular, o tritão-de-ventre-laranja (</w:t>
      </w:r>
      <w:proofErr w:type="spellStart"/>
      <w:r w:rsidRPr="00360CEB">
        <w:rPr>
          <w:sz w:val="24"/>
          <w:szCs w:val="24"/>
          <w:lang w:val="pt-PT"/>
        </w:rPr>
        <w:t>Lissotriton</w:t>
      </w:r>
      <w:proofErr w:type="spellEnd"/>
      <w:r w:rsidRPr="00360CEB">
        <w:rPr>
          <w:sz w:val="24"/>
          <w:szCs w:val="24"/>
          <w:lang w:val="pt-PT"/>
        </w:rPr>
        <w:t xml:space="preserve"> </w:t>
      </w:r>
      <w:proofErr w:type="spellStart"/>
      <w:r w:rsidRPr="00360CEB">
        <w:rPr>
          <w:sz w:val="24"/>
          <w:szCs w:val="24"/>
          <w:lang w:val="pt-PT"/>
        </w:rPr>
        <w:t>boscai</w:t>
      </w:r>
      <w:proofErr w:type="spellEnd"/>
      <w:r w:rsidRPr="00360CEB">
        <w:rPr>
          <w:sz w:val="24"/>
          <w:szCs w:val="24"/>
          <w:lang w:val="pt-PT"/>
        </w:rPr>
        <w:t xml:space="preserve">) é uma das espécies mais afetadas. Em várias populações da Serra, enquanto os machos abandonam os charcos após a época de reprodução, um grande número de fêmeas permanece no habitat aquático durante todo o ano. Esta dinâmica tem conduzido a uma mortalidade bastante mais acentuada entre as fêmeas desta espécie (cerca de 90%), uma vez que o </w:t>
      </w:r>
      <w:proofErr w:type="spellStart"/>
      <w:r w:rsidRPr="00360CEB">
        <w:rPr>
          <w:sz w:val="24"/>
          <w:szCs w:val="24"/>
          <w:lang w:val="pt-PT"/>
        </w:rPr>
        <w:t>ranavírus</w:t>
      </w:r>
      <w:proofErr w:type="spellEnd"/>
      <w:r w:rsidRPr="00360CEB">
        <w:rPr>
          <w:sz w:val="24"/>
          <w:szCs w:val="24"/>
          <w:lang w:val="pt-PT"/>
        </w:rPr>
        <w:t xml:space="preserve"> se encontra na água.</w:t>
      </w:r>
    </w:p>
    <w:p w14:paraId="02FA8394" w14:textId="70C38483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No estudo agora publicado, os investigadores demonstram que este diferente comportamento de machos e fêmeas pode afetar indiretamente a dinâmica da doença, ao levar à redução significativa do número de fêmeas na população e a uma reversão da proporção entre os dois sexos.</w:t>
      </w:r>
    </w:p>
    <w:p w14:paraId="2C47806A" w14:textId="5BACF7A2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 xml:space="preserve">“Os resultados dos modelos que desenvolvemos para os próximos vinte anos revelam que as populações desta espécie na Estrela podem ficar em risco de extinção no espaço de dez anos, caso o vírus não seja mitigado”, explica Gonçalo M. Rosa, investigador de pós-doutoramento no Centro de Ecologia, Evolução e Alterações Ambientais – cE3c, na Faculdade de Ciências da Universidade de Lisboa, e primeiro autor do estudo. “Dada a elevada virulência deste agente patogénico, uma maior mortalidade entre as fêmeas não se revelou determinante para um declínio mais acentuado das populações quando comparado com um cenário hipotético em que </w:t>
      </w:r>
      <w:r w:rsidRPr="00360CEB">
        <w:rPr>
          <w:sz w:val="24"/>
          <w:szCs w:val="24"/>
          <w:lang w:val="pt-PT"/>
        </w:rPr>
        <w:lastRenderedPageBreak/>
        <w:t>machos e fêmeas registem um nível de mortalidade semelhante. No entanto, os modelos revelam que a recuperação destas populações, quando possível, é severamente condicionada por esta mortalidade direcionada às fêmeas a médio e longo prazo”, acrescenta o investigador.</w:t>
      </w:r>
    </w:p>
    <w:p w14:paraId="41366C22" w14:textId="77777777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Para este estudo, os investigadores acompanharam durante cinco anos as populações de tritões-de-ventre-laranja em dois charcos da Serra da Estrela – em Folgosinho, onde os surtos anuais e episódios de mortalidade em massa continuam até hoje, e em Sazes, onde apenas são registados episódios pontuais de infeção sem mortalidade. Com estes dados desenvolveram projeções para as populações para os próximos vinte anos, sob diferentes cenários: considerando surtos anuais que poderiam durar cinco, dez ou vinte anos, e avaliando qual o impacto na recuperação da população, tanto com uma maior mortalidade entre as fêmeas ou com igual mortalidade entre ambos os sexos.</w:t>
      </w:r>
    </w:p>
    <w:p w14:paraId="0DBCF957" w14:textId="7F13740E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“Os nossos resultados indicam que caso haja um cessar dos surtos, quer por ação de mitigação do vírus ou qualquer outra razão ambiental, isso não implica uma recuperação imediata da população – a recuperação, a ser possível, será mais complexa do que inicialmente se pensava”, explica Gonçalo M. Rosa, investigador também no Instituto Zoológico de Londres (Reino Unido). Embora não exista ainda tratamento conhecido para a doença, têm vindo a ser testadas diferentes formas de minimizar os impactos deste vírus em populações selvagens.</w:t>
      </w:r>
    </w:p>
    <w:p w14:paraId="25B64437" w14:textId="77777777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 xml:space="preserve"> </w:t>
      </w:r>
    </w:p>
    <w:p w14:paraId="5C63C201" w14:textId="77777777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Referência do artigo:</w:t>
      </w:r>
    </w:p>
    <w:p w14:paraId="17A60EC7" w14:textId="0E52D4DE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 xml:space="preserve">Rosa G.M. </w:t>
      </w:r>
      <w:proofErr w:type="spellStart"/>
      <w:r w:rsidRPr="00360CEB">
        <w:rPr>
          <w:sz w:val="24"/>
          <w:szCs w:val="24"/>
          <w:lang w:val="pt-PT"/>
        </w:rPr>
        <w:t>et</w:t>
      </w:r>
      <w:proofErr w:type="spellEnd"/>
      <w:r w:rsidRPr="00360CEB">
        <w:rPr>
          <w:sz w:val="24"/>
          <w:szCs w:val="24"/>
          <w:lang w:val="pt-PT"/>
        </w:rPr>
        <w:t xml:space="preserve"> al. </w:t>
      </w:r>
      <w:r w:rsidRPr="00360CEB">
        <w:rPr>
          <w:sz w:val="24"/>
          <w:szCs w:val="24"/>
        </w:rPr>
        <w:t xml:space="preserve">(2019) Sex-biased disease dynamics increase extinction risk by impairing population recovery. Animal Conservation. </w:t>
      </w:r>
      <w:r w:rsidRPr="00360CEB">
        <w:rPr>
          <w:sz w:val="24"/>
          <w:szCs w:val="24"/>
          <w:lang w:val="pt-PT"/>
        </w:rPr>
        <w:t xml:space="preserve">Disponível aqui: </w:t>
      </w:r>
      <w:hyperlink r:id="rId4" w:history="1">
        <w:r w:rsidRPr="00360CEB">
          <w:rPr>
            <w:rStyle w:val="Hiperligao"/>
            <w:sz w:val="24"/>
            <w:szCs w:val="24"/>
            <w:lang w:val="pt-PT"/>
          </w:rPr>
          <w:t>https://doi.org/10.1111/acv.12502</w:t>
        </w:r>
      </w:hyperlink>
    </w:p>
    <w:p w14:paraId="41653C4A" w14:textId="1ABCF5D5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</w:p>
    <w:p w14:paraId="5E2FB429" w14:textId="23AAEA7E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Centro de Ecologia, Evolução e Alterações Ambientais – cE3c</w:t>
      </w:r>
    </w:p>
    <w:p w14:paraId="6DA2BF50" w14:textId="1E545883" w:rsidR="00EA6DDB" w:rsidRPr="00360CEB" w:rsidRDefault="00EA6DDB" w:rsidP="00360CEB">
      <w:pPr>
        <w:spacing w:after="0" w:line="360" w:lineRule="auto"/>
        <w:rPr>
          <w:sz w:val="24"/>
          <w:szCs w:val="24"/>
          <w:lang w:val="pt-PT"/>
        </w:rPr>
      </w:pPr>
      <w:r w:rsidRPr="00360CEB">
        <w:rPr>
          <w:sz w:val="24"/>
          <w:szCs w:val="24"/>
          <w:lang w:val="pt-PT"/>
        </w:rPr>
        <w:t>Ciência na Imprensa Regional – Ciência Viva</w:t>
      </w:r>
    </w:p>
    <w:sectPr w:rsidR="00EA6DDB" w:rsidRPr="00360C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79"/>
    <w:rsid w:val="002C2BE2"/>
    <w:rsid w:val="00360CEB"/>
    <w:rsid w:val="005C5C7D"/>
    <w:rsid w:val="00643CDD"/>
    <w:rsid w:val="008A0D79"/>
    <w:rsid w:val="00C26C8F"/>
    <w:rsid w:val="00E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1FA"/>
  <w15:chartTrackingRefBased/>
  <w15:docId w15:val="{09FA27C4-DA7B-4DDC-9338-7C27FD7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EA6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6DD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EA6DDB"/>
    <w:rPr>
      <w:b/>
      <w:bCs/>
    </w:rPr>
  </w:style>
  <w:style w:type="character" w:customStyle="1" w:styleId="m-6435119505865368740spelle">
    <w:name w:val="m_-6435119505865368740spelle"/>
    <w:basedOn w:val="Tipodeletrapredefinidodopargrafo"/>
    <w:rsid w:val="00EA6DDB"/>
  </w:style>
  <w:style w:type="character" w:styleId="nfase">
    <w:name w:val="Emphasis"/>
    <w:basedOn w:val="Tipodeletrapredefinidodopargrafo"/>
    <w:uiPriority w:val="20"/>
    <w:qFormat/>
    <w:rsid w:val="00EA6DDB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EA6DDB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A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acv.125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2019-05-14T13:51:00Z</dcterms:created>
  <dcterms:modified xsi:type="dcterms:W3CDTF">2019-05-14T14:00:00Z</dcterms:modified>
</cp:coreProperties>
</file>