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55F0" w14:textId="5239BA07" w:rsidR="002012CD" w:rsidRPr="002012CD" w:rsidRDefault="002012CD" w:rsidP="002012CD">
      <w:pPr>
        <w:shd w:val="clear" w:color="auto" w:fill="FFFFFF"/>
        <w:spacing w:before="100" w:beforeAutospacing="1" w:after="100" w:afterAutospacing="1" w:line="240" w:lineRule="auto"/>
        <w:outlineLvl w:val="0"/>
        <w:rPr>
          <w:rFonts w:ascii="Arial" w:eastAsia="Times New Roman" w:hAnsi="Arial" w:cs="Arial"/>
          <w:b/>
          <w:bCs/>
          <w:kern w:val="36"/>
          <w:sz w:val="28"/>
          <w:szCs w:val="28"/>
          <w:lang w:val="pt-PT" w:eastAsia="pt-PT"/>
        </w:rPr>
      </w:pPr>
      <w:r w:rsidRPr="007D36FA">
        <w:rPr>
          <w:rFonts w:ascii="Helvetica" w:eastAsia="Times New Roman" w:hAnsi="Helvetica" w:cs="Helvetica"/>
          <w:b/>
          <w:bCs/>
          <w:kern w:val="36"/>
          <w:sz w:val="28"/>
          <w:szCs w:val="28"/>
          <w:lang w:val="pt-PT" w:eastAsia="pt-PT"/>
        </w:rPr>
        <w:t>A origem de fungo responsável pelo declínio de anfíbios</w:t>
      </w:r>
    </w:p>
    <w:p w14:paraId="77A83CC7" w14:textId="0BA273F7" w:rsidR="002C2BE2" w:rsidRPr="003351FA" w:rsidRDefault="002C2BE2">
      <w:pPr>
        <w:rPr>
          <w:lang w:val="pt-PT"/>
        </w:rPr>
      </w:pPr>
    </w:p>
    <w:p w14:paraId="42F01148" w14:textId="0ED3E155" w:rsidR="002012CD" w:rsidRPr="003351FA" w:rsidRDefault="002012CD">
      <w:pPr>
        <w:rPr>
          <w:rFonts w:cstheme="minorHAnsi"/>
          <w:sz w:val="24"/>
          <w:szCs w:val="24"/>
          <w:lang w:val="pt-PT"/>
        </w:rPr>
      </w:pPr>
      <w:bookmarkStart w:id="0" w:name="_GoBack"/>
      <w:bookmarkEnd w:id="0"/>
    </w:p>
    <w:p w14:paraId="4087381A" w14:textId="700794EB" w:rsidR="00E4260D" w:rsidRPr="003351FA" w:rsidRDefault="002012CD">
      <w:pPr>
        <w:rPr>
          <w:rFonts w:cstheme="minorHAnsi"/>
          <w:sz w:val="24"/>
          <w:szCs w:val="24"/>
          <w:shd w:val="clear" w:color="auto" w:fill="FFFFFF"/>
          <w:lang w:val="pt-PT"/>
        </w:rPr>
      </w:pPr>
      <w:r w:rsidRPr="003351FA">
        <w:rPr>
          <w:rStyle w:val="Forte"/>
          <w:rFonts w:cstheme="minorHAnsi"/>
          <w:sz w:val="24"/>
          <w:szCs w:val="24"/>
          <w:shd w:val="clear" w:color="auto" w:fill="FFFFFF"/>
          <w:lang w:val="pt-PT"/>
        </w:rPr>
        <w:t>Um novo estudo</w:t>
      </w:r>
      <w:r w:rsidRPr="003351FA">
        <w:rPr>
          <w:rStyle w:val="Forte"/>
          <w:rFonts w:cstheme="minorHAnsi"/>
          <w:sz w:val="24"/>
          <w:szCs w:val="24"/>
          <w:shd w:val="clear" w:color="auto" w:fill="FFFFFF"/>
          <w:lang w:val="pt-PT"/>
        </w:rPr>
        <w:t xml:space="preserve"> </w:t>
      </w:r>
      <w:r w:rsidRPr="003351FA">
        <w:rPr>
          <w:rStyle w:val="Forte"/>
          <w:rFonts w:cstheme="minorHAnsi"/>
          <w:sz w:val="24"/>
          <w:szCs w:val="24"/>
          <w:shd w:val="clear" w:color="auto" w:fill="FFFFFF"/>
          <w:lang w:val="pt-PT"/>
        </w:rPr>
        <w:t>publicado na revista</w:t>
      </w:r>
      <w:r w:rsidR="00E4260D" w:rsidRPr="003351FA">
        <w:rPr>
          <w:rStyle w:val="Forte"/>
          <w:rFonts w:cstheme="minorHAnsi"/>
          <w:sz w:val="24"/>
          <w:szCs w:val="24"/>
          <w:shd w:val="clear" w:color="auto" w:fill="FFFFFF"/>
          <w:lang w:val="pt-PT"/>
        </w:rPr>
        <w:t xml:space="preserve"> </w:t>
      </w:r>
      <w:proofErr w:type="spellStart"/>
      <w:r w:rsidRPr="003351FA">
        <w:rPr>
          <w:rStyle w:val="nfase"/>
          <w:rFonts w:cstheme="minorHAnsi"/>
          <w:b/>
          <w:bCs/>
          <w:sz w:val="24"/>
          <w:szCs w:val="24"/>
          <w:shd w:val="clear" w:color="auto" w:fill="FFFFFF"/>
          <w:lang w:val="pt-PT"/>
        </w:rPr>
        <w:t>Science</w:t>
      </w:r>
      <w:proofErr w:type="spellEnd"/>
      <w:r w:rsidR="00E4260D" w:rsidRPr="003351FA">
        <w:rPr>
          <w:rStyle w:val="Forte"/>
          <w:rFonts w:cstheme="minorHAnsi"/>
          <w:sz w:val="24"/>
          <w:szCs w:val="24"/>
          <w:shd w:val="clear" w:color="auto" w:fill="FFFFFF"/>
          <w:lang w:val="pt-PT"/>
        </w:rPr>
        <w:t xml:space="preserve"> (</w:t>
      </w:r>
      <w:hyperlink r:id="rId4" w:tgtFrame="_blank" w:history="1">
        <w:r w:rsidR="00E4260D" w:rsidRPr="003351FA">
          <w:rPr>
            <w:rStyle w:val="Hiperligao"/>
            <w:rFonts w:cstheme="minorHAnsi"/>
            <w:color w:val="auto"/>
            <w:sz w:val="24"/>
            <w:szCs w:val="24"/>
            <w:shd w:val="clear" w:color="auto" w:fill="FFFFFF"/>
            <w:lang w:val="pt-PT"/>
          </w:rPr>
          <w:t>https://doi.org/10.1126/science.aar1965</w:t>
        </w:r>
      </w:hyperlink>
      <w:r w:rsidR="00E4260D" w:rsidRPr="003351FA">
        <w:rPr>
          <w:rStyle w:val="Forte"/>
          <w:rFonts w:cstheme="minorHAnsi"/>
          <w:sz w:val="24"/>
          <w:szCs w:val="24"/>
          <w:shd w:val="clear" w:color="auto" w:fill="FFFFFF"/>
          <w:lang w:val="pt-PT"/>
        </w:rPr>
        <w:t>)</w:t>
      </w:r>
      <w:r w:rsidR="003351FA">
        <w:rPr>
          <w:rStyle w:val="Forte"/>
          <w:rFonts w:cstheme="minorHAnsi"/>
          <w:sz w:val="24"/>
          <w:szCs w:val="24"/>
          <w:shd w:val="clear" w:color="auto" w:fill="FFFFFF"/>
          <w:lang w:val="pt-PT"/>
        </w:rPr>
        <w:t xml:space="preserve"> </w:t>
      </w:r>
      <w:r w:rsidRPr="003351FA">
        <w:rPr>
          <w:rStyle w:val="Forte"/>
          <w:rFonts w:cstheme="minorHAnsi"/>
          <w:sz w:val="24"/>
          <w:szCs w:val="24"/>
          <w:shd w:val="clear" w:color="auto" w:fill="FFFFFF"/>
          <w:lang w:val="pt-PT"/>
        </w:rPr>
        <w:t>revela que a mais recente linhagem do fungo</w:t>
      </w:r>
      <w:r w:rsidR="00E4260D" w:rsidRPr="003351FA">
        <w:rPr>
          <w:rStyle w:val="Forte"/>
          <w:rFonts w:cstheme="minorHAnsi"/>
          <w:sz w:val="24"/>
          <w:szCs w:val="24"/>
          <w:shd w:val="clear" w:color="auto" w:fill="FFFFFF"/>
          <w:lang w:val="pt-PT"/>
        </w:rPr>
        <w:t xml:space="preserve"> </w:t>
      </w:r>
      <w:proofErr w:type="spellStart"/>
      <w:r w:rsidRPr="003351FA">
        <w:rPr>
          <w:rStyle w:val="m-3031390605860063178spelle"/>
          <w:rFonts w:cstheme="minorHAnsi"/>
          <w:b/>
          <w:bCs/>
          <w:sz w:val="24"/>
          <w:szCs w:val="24"/>
          <w:shd w:val="clear" w:color="auto" w:fill="FFFFFF"/>
          <w:lang w:val="pt-PT"/>
        </w:rPr>
        <w:t>quitrídio</w:t>
      </w:r>
      <w:proofErr w:type="spellEnd"/>
      <w:r w:rsidRPr="003351FA">
        <w:rPr>
          <w:rStyle w:val="Forte"/>
          <w:rFonts w:cstheme="minorHAnsi"/>
          <w:sz w:val="24"/>
          <w:szCs w:val="24"/>
          <w:shd w:val="clear" w:color="auto" w:fill="FFFFFF"/>
          <w:lang w:val="pt-PT"/>
        </w:rPr>
        <w:t>-dos-anfíbios, que tem causado o declínio e empurrado para a extinção várias espécies de anfíbios por todo o mundo nas últimas décadas,</w:t>
      </w:r>
      <w:r w:rsidR="00E4260D" w:rsidRPr="003351FA">
        <w:rPr>
          <w:rStyle w:val="Forte"/>
          <w:rFonts w:cstheme="minorHAnsi"/>
          <w:sz w:val="24"/>
          <w:szCs w:val="24"/>
          <w:shd w:val="clear" w:color="auto" w:fill="FFFFFF"/>
          <w:lang w:val="pt-PT"/>
        </w:rPr>
        <w:t xml:space="preserve"> </w:t>
      </w:r>
      <w:r w:rsidRPr="003351FA">
        <w:rPr>
          <w:rStyle w:val="Forte"/>
          <w:rFonts w:cstheme="minorHAnsi"/>
          <w:sz w:val="24"/>
          <w:szCs w:val="24"/>
          <w:shd w:val="clear" w:color="auto" w:fill="FFFFFF"/>
          <w:lang w:val="pt-PT"/>
        </w:rPr>
        <w:t>teve origem no Sudeste Asiático no início do século XX. Esta linhagem mais agressiva do fungo tinha já sido detetada na Serra da Estrela e noutros pontos da Península Ibérica.</w:t>
      </w:r>
    </w:p>
    <w:p w14:paraId="6A28120A" w14:textId="77777777" w:rsidR="003351FA" w:rsidRDefault="002012CD">
      <w:pPr>
        <w:rPr>
          <w:rFonts w:cstheme="minorHAnsi"/>
          <w:sz w:val="24"/>
          <w:szCs w:val="24"/>
          <w:shd w:val="clear" w:color="auto" w:fill="FFFFFF"/>
          <w:lang w:val="pt-PT"/>
        </w:rPr>
      </w:pPr>
      <w:r w:rsidRPr="003351FA">
        <w:rPr>
          <w:rFonts w:cstheme="minorHAnsi"/>
          <w:sz w:val="24"/>
          <w:szCs w:val="24"/>
          <w:shd w:val="clear" w:color="auto" w:fill="FFFFFF"/>
          <w:lang w:val="pt-PT"/>
        </w:rPr>
        <w:t>Desde a década de 1990 que se conhece a ligação entre o</w:t>
      </w:r>
      <w:r w:rsidR="00E4260D" w:rsidRPr="003351FA">
        <w:rPr>
          <w:rFonts w:cstheme="minorHAnsi"/>
          <w:sz w:val="24"/>
          <w:szCs w:val="24"/>
          <w:shd w:val="clear" w:color="auto" w:fill="FFFFFF"/>
          <w:lang w:val="pt-PT"/>
        </w:rPr>
        <w:t xml:space="preserve"> </w:t>
      </w:r>
      <w:proofErr w:type="spellStart"/>
      <w:r w:rsidRPr="003351FA">
        <w:rPr>
          <w:rStyle w:val="m-3031390605860063178spelle"/>
          <w:rFonts w:cstheme="minorHAnsi"/>
          <w:sz w:val="24"/>
          <w:szCs w:val="24"/>
          <w:shd w:val="clear" w:color="auto" w:fill="FFFFFF"/>
          <w:lang w:val="pt-PT"/>
        </w:rPr>
        <w:t>quitrídio</w:t>
      </w:r>
      <w:proofErr w:type="spellEnd"/>
      <w:r w:rsidR="00E4260D" w:rsidRPr="003351FA">
        <w:rPr>
          <w:rStyle w:val="nfase"/>
          <w:rFonts w:cstheme="minorHAnsi"/>
          <w:sz w:val="24"/>
          <w:szCs w:val="24"/>
          <w:shd w:val="clear" w:color="auto" w:fill="FFFFFF"/>
          <w:lang w:val="pt-PT"/>
        </w:rPr>
        <w:t xml:space="preserve"> </w:t>
      </w:r>
      <w:r w:rsidRPr="003351FA">
        <w:rPr>
          <w:rStyle w:val="nfase"/>
          <w:rFonts w:cstheme="minorHAnsi"/>
          <w:sz w:val="24"/>
          <w:szCs w:val="24"/>
          <w:shd w:val="clear" w:color="auto" w:fill="FFFFFF"/>
          <w:lang w:val="pt-PT"/>
        </w:rPr>
        <w:t>(</w:t>
      </w:r>
      <w:proofErr w:type="spellStart"/>
      <w:r w:rsidRPr="003351FA">
        <w:rPr>
          <w:rStyle w:val="m-3031390605860063178spelle"/>
          <w:rFonts w:cstheme="minorHAnsi"/>
          <w:i/>
          <w:iCs/>
          <w:sz w:val="24"/>
          <w:szCs w:val="24"/>
          <w:shd w:val="clear" w:color="auto" w:fill="FFFFFF"/>
          <w:lang w:val="pt-PT"/>
        </w:rPr>
        <w:t>Batrachochytrium</w:t>
      </w:r>
      <w:proofErr w:type="spellEnd"/>
      <w:r w:rsidR="00E4260D" w:rsidRPr="003351FA">
        <w:rPr>
          <w:rStyle w:val="m-3031390605860063178spelle"/>
          <w:rFonts w:cstheme="minorHAnsi"/>
          <w:i/>
          <w:iCs/>
          <w:sz w:val="24"/>
          <w:szCs w:val="24"/>
          <w:shd w:val="clear" w:color="auto" w:fill="FFFFFF"/>
          <w:lang w:val="pt-PT"/>
        </w:rPr>
        <w:t xml:space="preserve"> </w:t>
      </w:r>
      <w:proofErr w:type="spellStart"/>
      <w:r w:rsidRPr="003351FA">
        <w:rPr>
          <w:rStyle w:val="m-3031390605860063178spelle"/>
          <w:rFonts w:cstheme="minorHAnsi"/>
          <w:i/>
          <w:iCs/>
          <w:sz w:val="24"/>
          <w:szCs w:val="24"/>
          <w:shd w:val="clear" w:color="auto" w:fill="FFFFFF"/>
          <w:lang w:val="pt-PT"/>
        </w:rPr>
        <w:t>dendrobatidis</w:t>
      </w:r>
      <w:proofErr w:type="spellEnd"/>
      <w:r w:rsidRPr="003351FA">
        <w:rPr>
          <w:rFonts w:cstheme="minorHAnsi"/>
          <w:sz w:val="24"/>
          <w:szCs w:val="24"/>
          <w:shd w:val="clear" w:color="auto" w:fill="FFFFFF"/>
          <w:lang w:val="pt-PT"/>
        </w:rPr>
        <w:t>), um fungo microscópico, e o declínio de várias espécies de anfíbios por todo o mundo. O fungo infecta a pele de rãs, sapos e outros anfíbios causando uma doença chamada quitridiomicose. Em espécies mais</w:t>
      </w:r>
      <w:r w:rsidR="003351FA">
        <w:rPr>
          <w:rFonts w:cstheme="minorHAnsi"/>
          <w:sz w:val="24"/>
          <w:szCs w:val="24"/>
          <w:shd w:val="clear" w:color="auto" w:fill="FFFFFF"/>
          <w:lang w:val="pt-PT"/>
        </w:rPr>
        <w:t xml:space="preserve"> </w:t>
      </w:r>
      <w:proofErr w:type="spellStart"/>
      <w:r w:rsidRPr="003351FA">
        <w:rPr>
          <w:rStyle w:val="m-3031390605860063178spelle"/>
          <w:rFonts w:cstheme="minorHAnsi"/>
          <w:sz w:val="24"/>
          <w:szCs w:val="24"/>
          <w:shd w:val="clear" w:color="auto" w:fill="FFFFFF"/>
          <w:lang w:val="pt-PT"/>
        </w:rPr>
        <w:t>susceptíveis</w:t>
      </w:r>
      <w:proofErr w:type="spellEnd"/>
      <w:r w:rsidR="003351FA">
        <w:rPr>
          <w:rFonts w:cstheme="minorHAnsi"/>
          <w:sz w:val="24"/>
          <w:szCs w:val="24"/>
          <w:shd w:val="clear" w:color="auto" w:fill="FFFFFF"/>
          <w:lang w:val="pt-PT"/>
        </w:rPr>
        <w:t xml:space="preserve"> </w:t>
      </w:r>
      <w:r w:rsidRPr="003351FA">
        <w:rPr>
          <w:rFonts w:cstheme="minorHAnsi"/>
          <w:sz w:val="24"/>
          <w:szCs w:val="24"/>
          <w:shd w:val="clear" w:color="auto" w:fill="FFFFFF"/>
          <w:lang w:val="pt-PT"/>
        </w:rPr>
        <w:t>este fungo tem sido responsável por inúmeros episódios de mortalidade</w:t>
      </w:r>
      <w:r w:rsidR="003351FA">
        <w:rPr>
          <w:rFonts w:cstheme="minorHAnsi"/>
          <w:sz w:val="24"/>
          <w:szCs w:val="24"/>
          <w:shd w:val="clear" w:color="auto" w:fill="FFFFFF"/>
          <w:lang w:val="pt-PT"/>
        </w:rPr>
        <w:t xml:space="preserve"> </w:t>
      </w:r>
      <w:r w:rsidRPr="003351FA">
        <w:rPr>
          <w:rFonts w:cstheme="minorHAnsi"/>
          <w:sz w:val="24"/>
          <w:szCs w:val="24"/>
          <w:shd w:val="clear" w:color="auto" w:fill="FFFFFF"/>
          <w:lang w:val="pt-PT"/>
        </w:rPr>
        <w:t>em massa. No entanto, não se conhecia ainda onde e quando teria</w:t>
      </w:r>
      <w:r w:rsidR="003351FA">
        <w:rPr>
          <w:rFonts w:cstheme="minorHAnsi"/>
          <w:sz w:val="24"/>
          <w:szCs w:val="24"/>
          <w:shd w:val="clear" w:color="auto" w:fill="FFFFFF"/>
          <w:lang w:val="pt-PT"/>
        </w:rPr>
        <w:t xml:space="preserve"> </w:t>
      </w:r>
      <w:r w:rsidRPr="003351FA">
        <w:rPr>
          <w:rFonts w:cstheme="minorHAnsi"/>
          <w:sz w:val="24"/>
          <w:szCs w:val="24"/>
          <w:shd w:val="clear" w:color="auto" w:fill="FFFFFF"/>
          <w:lang w:val="pt-PT"/>
        </w:rPr>
        <w:t>tido origem este fungo e a sua linhagem mais agressiva.</w:t>
      </w:r>
    </w:p>
    <w:p w14:paraId="5CB193A7" w14:textId="77777777" w:rsidR="003351FA" w:rsidRDefault="002012CD">
      <w:pPr>
        <w:rPr>
          <w:rFonts w:cstheme="minorHAnsi"/>
          <w:sz w:val="24"/>
          <w:szCs w:val="24"/>
          <w:shd w:val="clear" w:color="auto" w:fill="FFFFFF"/>
          <w:lang w:val="pt-PT"/>
        </w:rPr>
      </w:pPr>
      <w:r w:rsidRPr="003351FA">
        <w:rPr>
          <w:rFonts w:cstheme="minorHAnsi"/>
          <w:sz w:val="24"/>
          <w:szCs w:val="24"/>
          <w:shd w:val="clear" w:color="auto" w:fill="FFFFFF"/>
          <w:lang w:val="pt-PT"/>
        </w:rPr>
        <w:t>Os resultados do estudo agora publicado, que envolveu uma equipa internacional de mais de 50 investigadores de 38 instituições, revelam que esta linhagem terá emergido no Sudeste Asiático, em particular na península da Coreia. “Esta é uma questão que tem estado no centro de acérrimos debates ao longo das últimas duas décadas, com sugestões em cima da mesa tão diversas como África do Sul, América do Norte e Sul ou mesmo Japão”, explica Gonçalo M. Rosa, investigador do</w:t>
      </w:r>
      <w:r w:rsidR="003351FA">
        <w:rPr>
          <w:rFonts w:cstheme="minorHAnsi"/>
          <w:sz w:val="24"/>
          <w:szCs w:val="24"/>
          <w:shd w:val="clear" w:color="auto" w:fill="FFFFFF"/>
          <w:lang w:val="pt-PT"/>
        </w:rPr>
        <w:t xml:space="preserve"> </w:t>
      </w:r>
      <w:hyperlink r:id="rId5" w:tgtFrame="_blank" w:history="1">
        <w:r w:rsidRPr="003351FA">
          <w:rPr>
            <w:rStyle w:val="Hiperligao"/>
            <w:rFonts w:cstheme="minorHAnsi"/>
            <w:color w:val="auto"/>
            <w:sz w:val="24"/>
            <w:szCs w:val="24"/>
            <w:shd w:val="clear" w:color="auto" w:fill="FFFFFF"/>
            <w:lang w:val="pt-PT"/>
          </w:rPr>
          <w:t>cE3c - Centro de Ecologia, Evolução e Alterações Ambientais</w:t>
        </w:r>
      </w:hyperlink>
      <w:r w:rsidR="003351FA">
        <w:rPr>
          <w:rFonts w:cstheme="minorHAnsi"/>
          <w:sz w:val="24"/>
          <w:szCs w:val="24"/>
          <w:shd w:val="clear" w:color="auto" w:fill="FFFFFF"/>
          <w:lang w:val="pt-PT"/>
        </w:rPr>
        <w:t xml:space="preserve"> </w:t>
      </w:r>
      <w:r w:rsidRPr="003351FA">
        <w:rPr>
          <w:rFonts w:cstheme="minorHAnsi"/>
          <w:sz w:val="24"/>
          <w:szCs w:val="24"/>
          <w:shd w:val="clear" w:color="auto" w:fill="FFFFFF"/>
          <w:lang w:val="pt-PT"/>
        </w:rPr>
        <w:t>(Faculdade de Ciências da Universidade de Lisboa) e do Instituto de Zoologia de Londres (Reino Unido).</w:t>
      </w:r>
    </w:p>
    <w:p w14:paraId="6BBD7544" w14:textId="77777777" w:rsidR="003351FA" w:rsidRDefault="002012CD">
      <w:pPr>
        <w:rPr>
          <w:rFonts w:cstheme="minorHAnsi"/>
          <w:sz w:val="24"/>
          <w:szCs w:val="24"/>
          <w:shd w:val="clear" w:color="auto" w:fill="FFFFFF"/>
          <w:lang w:val="pt-PT"/>
        </w:rPr>
      </w:pPr>
      <w:r w:rsidRPr="003351FA">
        <w:rPr>
          <w:rFonts w:cstheme="minorHAnsi"/>
          <w:sz w:val="24"/>
          <w:szCs w:val="24"/>
          <w:shd w:val="clear" w:color="auto" w:fill="FFFFFF"/>
          <w:lang w:val="pt-PT"/>
        </w:rPr>
        <w:t>Os investigadores sequenciaram o genoma de amostras deste fungo recolhidas em todo o mundo e combinaram estes dados com os resultados de outros estudos já publicados, num total de 234 amostras. As análises genéticas revelaram a existência de quatro principais linhagens deste fungo, três das quais distribuídas a nível global – e uma delas apenas existente na península da Coreia, em sapos nativos da região. Os resultados indicam também que – ao contrário de estimativas anteriores – esta linhagem mais agressiva terá divergido do seu ancestral comum mais recente no início do século XX.</w:t>
      </w:r>
    </w:p>
    <w:p w14:paraId="2E9BA08D" w14:textId="77777777" w:rsidR="003351FA" w:rsidRDefault="002012CD">
      <w:pPr>
        <w:rPr>
          <w:rFonts w:cstheme="minorHAnsi"/>
          <w:sz w:val="24"/>
          <w:szCs w:val="24"/>
          <w:shd w:val="clear" w:color="auto" w:fill="FFFFFF"/>
          <w:lang w:val="pt-PT"/>
        </w:rPr>
      </w:pPr>
      <w:r w:rsidRPr="003351FA">
        <w:rPr>
          <w:rFonts w:cstheme="minorHAnsi"/>
          <w:sz w:val="24"/>
          <w:szCs w:val="24"/>
          <w:shd w:val="clear" w:color="auto" w:fill="FFFFFF"/>
          <w:lang w:val="pt-PT"/>
        </w:rPr>
        <w:t>“Em vez de remontar a milhares de anos, como se pensava anteriormente, estimamos agora com maior robustez que a emergência tenha ocorrido entre 50 a</w:t>
      </w:r>
      <w:r w:rsidR="003351FA">
        <w:rPr>
          <w:rFonts w:cstheme="minorHAnsi"/>
          <w:sz w:val="24"/>
          <w:szCs w:val="24"/>
          <w:shd w:val="clear" w:color="auto" w:fill="FFFFFF"/>
          <w:lang w:val="pt-PT"/>
        </w:rPr>
        <w:t xml:space="preserve"> </w:t>
      </w:r>
      <w:r w:rsidRPr="003351FA">
        <w:rPr>
          <w:rFonts w:cstheme="minorHAnsi"/>
          <w:sz w:val="24"/>
          <w:szCs w:val="24"/>
          <w:shd w:val="clear" w:color="auto" w:fill="FFFFFF"/>
          <w:lang w:val="pt-PT"/>
        </w:rPr>
        <w:t>120 anos atrás” acrescenta</w:t>
      </w:r>
      <w:r w:rsidR="003351FA">
        <w:rPr>
          <w:rFonts w:cstheme="minorHAnsi"/>
          <w:sz w:val="24"/>
          <w:szCs w:val="24"/>
          <w:shd w:val="clear" w:color="auto" w:fill="FFFFFF"/>
          <w:lang w:val="pt-PT"/>
        </w:rPr>
        <w:t xml:space="preserve"> </w:t>
      </w:r>
      <w:proofErr w:type="spellStart"/>
      <w:r w:rsidRPr="003351FA">
        <w:rPr>
          <w:rStyle w:val="m-3031390605860063178spelle"/>
          <w:rFonts w:cstheme="minorHAnsi"/>
          <w:sz w:val="24"/>
          <w:szCs w:val="24"/>
          <w:shd w:val="clear" w:color="auto" w:fill="FFFFFF"/>
          <w:lang w:val="pt-PT"/>
        </w:rPr>
        <w:t>Matthew</w:t>
      </w:r>
      <w:proofErr w:type="spellEnd"/>
      <w:r w:rsidR="003351FA">
        <w:rPr>
          <w:rFonts w:cstheme="minorHAnsi"/>
          <w:sz w:val="24"/>
          <w:szCs w:val="24"/>
          <w:shd w:val="clear" w:color="auto" w:fill="FFFFFF"/>
          <w:lang w:val="pt-PT"/>
        </w:rPr>
        <w:t xml:space="preserve"> </w:t>
      </w:r>
      <w:r w:rsidRPr="003351FA">
        <w:rPr>
          <w:rFonts w:cstheme="minorHAnsi"/>
          <w:sz w:val="24"/>
          <w:szCs w:val="24"/>
          <w:shd w:val="clear" w:color="auto" w:fill="FFFFFF"/>
          <w:lang w:val="pt-PT"/>
        </w:rPr>
        <w:t>Fisher, professor no Imperial</w:t>
      </w:r>
      <w:r w:rsidR="003351FA">
        <w:rPr>
          <w:rFonts w:cstheme="minorHAnsi"/>
          <w:sz w:val="24"/>
          <w:szCs w:val="24"/>
          <w:shd w:val="clear" w:color="auto" w:fill="FFFFFF"/>
          <w:lang w:val="pt-PT"/>
        </w:rPr>
        <w:t xml:space="preserve"> </w:t>
      </w:r>
      <w:proofErr w:type="spellStart"/>
      <w:r w:rsidRPr="003351FA">
        <w:rPr>
          <w:rStyle w:val="m-3031390605860063178spelle"/>
          <w:rFonts w:cstheme="minorHAnsi"/>
          <w:sz w:val="24"/>
          <w:szCs w:val="24"/>
          <w:shd w:val="clear" w:color="auto" w:fill="FFFFFF"/>
          <w:lang w:val="pt-PT"/>
        </w:rPr>
        <w:t>College</w:t>
      </w:r>
      <w:proofErr w:type="spellEnd"/>
      <w:r w:rsidR="003351FA">
        <w:rPr>
          <w:rFonts w:cstheme="minorHAnsi"/>
          <w:sz w:val="24"/>
          <w:szCs w:val="24"/>
          <w:shd w:val="clear" w:color="auto" w:fill="FFFFFF"/>
          <w:lang w:val="pt-PT"/>
        </w:rPr>
        <w:t xml:space="preserve"> </w:t>
      </w:r>
      <w:r w:rsidRPr="003351FA">
        <w:rPr>
          <w:rFonts w:cstheme="minorHAnsi"/>
          <w:sz w:val="24"/>
          <w:szCs w:val="24"/>
          <w:shd w:val="clear" w:color="auto" w:fill="FFFFFF"/>
          <w:lang w:val="pt-PT"/>
        </w:rPr>
        <w:t>London (Reino Unido). Esta data coincide com uma intensificação de atividades humanas naquela parte do globo com um aumento do comércio intercontinental que terá contribuído para a rápida expansão do fungo por todo o mundo.</w:t>
      </w:r>
    </w:p>
    <w:p w14:paraId="52A07D07" w14:textId="77777777" w:rsidR="003351FA" w:rsidRDefault="002012CD">
      <w:pPr>
        <w:rPr>
          <w:rFonts w:cstheme="minorHAnsi"/>
          <w:sz w:val="24"/>
          <w:szCs w:val="24"/>
          <w:shd w:val="clear" w:color="auto" w:fill="FFFFFF"/>
          <w:lang w:val="pt-PT"/>
        </w:rPr>
      </w:pPr>
      <w:r w:rsidRPr="003351FA">
        <w:rPr>
          <w:rFonts w:cstheme="minorHAnsi"/>
          <w:sz w:val="24"/>
          <w:szCs w:val="24"/>
          <w:shd w:val="clear" w:color="auto" w:fill="FFFFFF"/>
          <w:lang w:val="pt-PT"/>
        </w:rPr>
        <w:lastRenderedPageBreak/>
        <w:t>Em Portugal este fungo foi associado pela primeira vez a um episódio de mortalidade em 2009 na Serra da Estrela, onde desde então Gonçalo M. Rosa estabeleceu um estudo de monitorização. “As populações de sapo-parteiro foram as mais afetadas, principalmente nas zonas elevadas da Serra da Estrela onde, em alguns charcos e lagoas, os animais deixaram simplesmente de ser vistos ou ouvidos”, acrescenta o investigador.</w:t>
      </w:r>
    </w:p>
    <w:p w14:paraId="7AC8E5C7" w14:textId="3C99F6BF" w:rsidR="00E4260D" w:rsidRPr="003351FA" w:rsidRDefault="002012CD">
      <w:pPr>
        <w:rPr>
          <w:rFonts w:cstheme="minorHAnsi"/>
          <w:sz w:val="24"/>
          <w:szCs w:val="24"/>
          <w:shd w:val="clear" w:color="auto" w:fill="FFFFFF"/>
          <w:lang w:val="pt-PT"/>
        </w:rPr>
      </w:pPr>
      <w:r w:rsidRPr="003351FA">
        <w:rPr>
          <w:rFonts w:cstheme="minorHAnsi"/>
          <w:sz w:val="24"/>
          <w:szCs w:val="24"/>
          <w:shd w:val="clear" w:color="auto" w:fill="FFFFFF"/>
          <w:lang w:val="pt-PT"/>
        </w:rPr>
        <w:t>Os resultados deste estudo, coordenado pelo Imperial</w:t>
      </w:r>
      <w:r w:rsidR="003351FA">
        <w:rPr>
          <w:rFonts w:cstheme="minorHAnsi"/>
          <w:sz w:val="24"/>
          <w:szCs w:val="24"/>
          <w:shd w:val="clear" w:color="auto" w:fill="FFFFFF"/>
          <w:lang w:val="pt-PT"/>
        </w:rPr>
        <w:t xml:space="preserve"> </w:t>
      </w:r>
      <w:proofErr w:type="spellStart"/>
      <w:r w:rsidRPr="003351FA">
        <w:rPr>
          <w:rStyle w:val="m-3031390605860063178spelle"/>
          <w:rFonts w:cstheme="minorHAnsi"/>
          <w:sz w:val="24"/>
          <w:szCs w:val="24"/>
          <w:shd w:val="clear" w:color="auto" w:fill="FFFFFF"/>
          <w:lang w:val="pt-PT"/>
        </w:rPr>
        <w:t>College</w:t>
      </w:r>
      <w:proofErr w:type="spellEnd"/>
      <w:r w:rsidR="003351FA">
        <w:rPr>
          <w:rFonts w:cstheme="minorHAnsi"/>
          <w:sz w:val="24"/>
          <w:szCs w:val="24"/>
          <w:shd w:val="clear" w:color="auto" w:fill="FFFFFF"/>
          <w:lang w:val="pt-PT"/>
        </w:rPr>
        <w:t xml:space="preserve"> </w:t>
      </w:r>
      <w:r w:rsidRPr="003351FA">
        <w:rPr>
          <w:rFonts w:cstheme="minorHAnsi"/>
          <w:sz w:val="24"/>
          <w:szCs w:val="24"/>
          <w:shd w:val="clear" w:color="auto" w:fill="FFFFFF"/>
          <w:lang w:val="pt-PT"/>
        </w:rPr>
        <w:t>London, indicam que o movimento de anfíbios causado pela atividade humana – por exemplo através do comércio de animais de estimação ou com fins gastronómicos – terá tido uma contribuição significativa para a disseminação desta estirpe a nível global. Os autores recomendam um maior controle sobre o comércio de anfíbios oriundos da Ásia bem como mais atenção à higiene e medidas de biossegurança no transporte dos mesmos, devido ao elevado risco de exportação de estirpes anteriormente desconhecidas para fora desta região.</w:t>
      </w:r>
    </w:p>
    <w:p w14:paraId="2DECBDBC" w14:textId="5A63FC48" w:rsidR="00E4260D" w:rsidRPr="003351FA" w:rsidRDefault="00E4260D">
      <w:pPr>
        <w:rPr>
          <w:rFonts w:cstheme="minorHAnsi"/>
          <w:sz w:val="24"/>
          <w:szCs w:val="24"/>
          <w:lang w:val="pt-PT"/>
        </w:rPr>
      </w:pPr>
    </w:p>
    <w:p w14:paraId="48D24E31" w14:textId="74BDFEE2" w:rsidR="00F84781" w:rsidRPr="003351FA" w:rsidRDefault="00F84781">
      <w:pPr>
        <w:rPr>
          <w:rFonts w:cstheme="minorHAnsi"/>
          <w:sz w:val="24"/>
          <w:szCs w:val="24"/>
          <w:lang w:val="pt-PT"/>
        </w:rPr>
      </w:pPr>
      <w:r w:rsidRPr="003351FA">
        <w:rPr>
          <w:rFonts w:cstheme="minorHAnsi"/>
          <w:sz w:val="24"/>
          <w:szCs w:val="24"/>
          <w:lang w:val="pt-PT"/>
        </w:rPr>
        <w:t xml:space="preserve">Legenda da figura anexa: </w:t>
      </w:r>
      <w:r w:rsidRPr="003351FA">
        <w:rPr>
          <w:rFonts w:ascii="Helvetica" w:hAnsi="Helvetica" w:cs="Helvetica"/>
          <w:sz w:val="21"/>
          <w:szCs w:val="21"/>
          <w:shd w:val="clear" w:color="auto" w:fill="FFFFFF"/>
          <w:lang w:val="pt-PT"/>
        </w:rPr>
        <w:t>Indivíduo de galinha-da-montanha (</w:t>
      </w:r>
      <w:proofErr w:type="spellStart"/>
      <w:r w:rsidRPr="003351FA">
        <w:rPr>
          <w:rStyle w:val="nfase"/>
          <w:rFonts w:ascii="Helvetica" w:hAnsi="Helvetica" w:cs="Helvetica"/>
          <w:sz w:val="21"/>
          <w:szCs w:val="21"/>
          <w:shd w:val="clear" w:color="auto" w:fill="FFFFFF"/>
          <w:lang w:val="pt-PT"/>
        </w:rPr>
        <w:t>Leptodactylus</w:t>
      </w:r>
      <w:proofErr w:type="spellEnd"/>
      <w:r w:rsidRPr="003351FA">
        <w:rPr>
          <w:rStyle w:val="nfase"/>
          <w:rFonts w:ascii="Helvetica" w:hAnsi="Helvetica" w:cs="Helvetica"/>
          <w:sz w:val="21"/>
          <w:szCs w:val="21"/>
          <w:shd w:val="clear" w:color="auto" w:fill="FFFFFF"/>
          <w:lang w:val="pt-PT"/>
        </w:rPr>
        <w:t xml:space="preserve"> </w:t>
      </w:r>
      <w:proofErr w:type="spellStart"/>
      <w:r w:rsidRPr="003351FA">
        <w:rPr>
          <w:rStyle w:val="m-3031390605860063178spelle"/>
          <w:rFonts w:ascii="Helvetica" w:hAnsi="Helvetica" w:cs="Helvetica"/>
          <w:i/>
          <w:iCs/>
          <w:sz w:val="21"/>
          <w:szCs w:val="21"/>
          <w:shd w:val="clear" w:color="auto" w:fill="FFFFFF"/>
          <w:lang w:val="pt-PT"/>
        </w:rPr>
        <w:t>fallax</w:t>
      </w:r>
      <w:proofErr w:type="spellEnd"/>
      <w:r w:rsidRPr="003351FA">
        <w:rPr>
          <w:rFonts w:ascii="Helvetica" w:hAnsi="Helvetica" w:cs="Helvetica"/>
          <w:sz w:val="21"/>
          <w:szCs w:val="21"/>
          <w:shd w:val="clear" w:color="auto" w:fill="FFFFFF"/>
          <w:lang w:val="pt-PT"/>
        </w:rPr>
        <w:t>) com quitridiomicose na ilha de Montserrat, onde a populações foi empurrada para a beira da extinção</w:t>
      </w:r>
      <w:r w:rsidRPr="003351FA">
        <w:rPr>
          <w:rFonts w:ascii="Helvetica" w:hAnsi="Helvetica" w:cs="Helvetica"/>
          <w:sz w:val="21"/>
          <w:szCs w:val="21"/>
          <w:shd w:val="clear" w:color="auto" w:fill="FFFFFF"/>
          <w:lang w:val="pt-PT"/>
        </w:rPr>
        <w:t xml:space="preserve"> </w:t>
      </w:r>
      <w:r w:rsidRPr="003351FA">
        <w:rPr>
          <w:rFonts w:ascii="Helvetica" w:hAnsi="Helvetica" w:cs="Helvetica"/>
          <w:sz w:val="21"/>
          <w:szCs w:val="21"/>
          <w:shd w:val="clear" w:color="auto" w:fill="FFFFFF"/>
          <w:lang w:val="pt-PT"/>
        </w:rPr>
        <w:t>© Gonçalo M. Rosa</w:t>
      </w:r>
    </w:p>
    <w:p w14:paraId="1352611B" w14:textId="77777777" w:rsidR="00F84781" w:rsidRPr="003351FA" w:rsidRDefault="00F84781">
      <w:pPr>
        <w:rPr>
          <w:rFonts w:cstheme="minorHAnsi"/>
          <w:sz w:val="24"/>
          <w:szCs w:val="24"/>
          <w:lang w:val="pt-PT"/>
        </w:rPr>
      </w:pPr>
    </w:p>
    <w:p w14:paraId="6791B70B" w14:textId="5A018079" w:rsidR="00E4260D" w:rsidRPr="003351FA" w:rsidRDefault="00E4260D">
      <w:pPr>
        <w:rPr>
          <w:rFonts w:ascii="Helvetica" w:hAnsi="Helvetica" w:cs="Helvetica"/>
          <w:sz w:val="21"/>
          <w:szCs w:val="21"/>
          <w:shd w:val="clear" w:color="auto" w:fill="FFFFFF"/>
          <w:lang w:val="pt-PT"/>
        </w:rPr>
      </w:pPr>
      <w:r w:rsidRPr="003351FA">
        <w:rPr>
          <w:rFonts w:ascii="Helvetica" w:hAnsi="Helvetica" w:cs="Helvetica"/>
          <w:sz w:val="21"/>
          <w:szCs w:val="21"/>
          <w:shd w:val="clear" w:color="auto" w:fill="FFFFFF"/>
          <w:lang w:val="pt-PT"/>
        </w:rPr>
        <w:t>Gabinete de Comunicação do cE3c - Centro de Ecologia, Evolução e Alterações Ambientais</w:t>
      </w:r>
    </w:p>
    <w:p w14:paraId="06AA925A" w14:textId="22C7898C" w:rsidR="00E4260D" w:rsidRPr="003351FA" w:rsidRDefault="00E4260D">
      <w:pPr>
        <w:rPr>
          <w:rFonts w:cstheme="minorHAnsi"/>
          <w:sz w:val="24"/>
          <w:szCs w:val="24"/>
          <w:lang w:val="pt-PT"/>
        </w:rPr>
      </w:pPr>
      <w:r w:rsidRPr="003351FA">
        <w:rPr>
          <w:rFonts w:cstheme="minorHAnsi"/>
          <w:sz w:val="24"/>
          <w:szCs w:val="24"/>
          <w:lang w:val="pt-PT"/>
        </w:rPr>
        <w:t>Ciência na Imprensa Regional – Ciência Viva</w:t>
      </w:r>
    </w:p>
    <w:sectPr w:rsidR="00E4260D" w:rsidRPr="003351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40"/>
    <w:rsid w:val="002012CD"/>
    <w:rsid w:val="002C2BE2"/>
    <w:rsid w:val="00303C40"/>
    <w:rsid w:val="003351FA"/>
    <w:rsid w:val="005F08CD"/>
    <w:rsid w:val="007D36FA"/>
    <w:rsid w:val="00985AA4"/>
    <w:rsid w:val="00C26C8F"/>
    <w:rsid w:val="00C804D4"/>
    <w:rsid w:val="00E4260D"/>
    <w:rsid w:val="00F8478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CF2D"/>
  <w15:chartTrackingRefBased/>
  <w15:docId w15:val="{BD8D9494-A186-440B-A069-F62CAD63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tulo1">
    <w:name w:val="heading 1"/>
    <w:basedOn w:val="Normal"/>
    <w:link w:val="Ttulo1Carter"/>
    <w:uiPriority w:val="9"/>
    <w:qFormat/>
    <w:rsid w:val="002012CD"/>
    <w:pPr>
      <w:spacing w:before="100" w:beforeAutospacing="1" w:after="100" w:afterAutospacing="1" w:line="240" w:lineRule="auto"/>
      <w:outlineLvl w:val="0"/>
    </w:pPr>
    <w:rPr>
      <w:rFonts w:ascii="Times New Roman" w:eastAsia="Times New Roman" w:hAnsi="Times New Roman" w:cs="Times New Roman"/>
      <w:b/>
      <w:bCs/>
      <w:kern w:val="36"/>
      <w:sz w:val="48"/>
      <w:szCs w:val="48"/>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012CD"/>
    <w:rPr>
      <w:rFonts w:ascii="Times New Roman" w:eastAsia="Times New Roman" w:hAnsi="Times New Roman" w:cs="Times New Roman"/>
      <w:b/>
      <w:bCs/>
      <w:kern w:val="36"/>
      <w:sz w:val="48"/>
      <w:szCs w:val="48"/>
      <w:lang w:eastAsia="pt-PT"/>
    </w:rPr>
  </w:style>
  <w:style w:type="character" w:styleId="Forte">
    <w:name w:val="Strong"/>
    <w:basedOn w:val="Tipodeletrapredefinidodopargrafo"/>
    <w:uiPriority w:val="22"/>
    <w:qFormat/>
    <w:rsid w:val="002012CD"/>
    <w:rPr>
      <w:b/>
      <w:bCs/>
    </w:rPr>
  </w:style>
  <w:style w:type="character" w:styleId="nfase">
    <w:name w:val="Emphasis"/>
    <w:basedOn w:val="Tipodeletrapredefinidodopargrafo"/>
    <w:uiPriority w:val="20"/>
    <w:qFormat/>
    <w:rsid w:val="002012CD"/>
    <w:rPr>
      <w:i/>
      <w:iCs/>
    </w:rPr>
  </w:style>
  <w:style w:type="character" w:customStyle="1" w:styleId="m-3031390605860063178spelle">
    <w:name w:val="m_-3031390605860063178spelle"/>
    <w:basedOn w:val="Tipodeletrapredefinidodopargrafo"/>
    <w:rsid w:val="002012CD"/>
  </w:style>
  <w:style w:type="character" w:styleId="Hiperligao">
    <w:name w:val="Hyperlink"/>
    <w:basedOn w:val="Tipodeletrapredefinidodopargrafo"/>
    <w:uiPriority w:val="99"/>
    <w:semiHidden/>
    <w:unhideWhenUsed/>
    <w:rsid w:val="002012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914477">
      <w:bodyDiv w:val="1"/>
      <w:marLeft w:val="0"/>
      <w:marRight w:val="0"/>
      <w:marTop w:val="0"/>
      <w:marBottom w:val="0"/>
      <w:divBdr>
        <w:top w:val="none" w:sz="0" w:space="0" w:color="auto"/>
        <w:left w:val="none" w:sz="0" w:space="0" w:color="auto"/>
        <w:bottom w:val="none" w:sz="0" w:space="0" w:color="auto"/>
        <w:right w:val="none" w:sz="0" w:space="0" w:color="auto"/>
      </w:divBdr>
    </w:div>
    <w:div w:id="187931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e3c.ciencias.ulisboa.pt/" TargetMode="External"/><Relationship Id="rId4" Type="http://schemas.openxmlformats.org/officeDocument/2006/relationships/hyperlink" Target="https://doi.org/10.1126/science.aar196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647</Words>
  <Characters>3500</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10</cp:revision>
  <dcterms:created xsi:type="dcterms:W3CDTF">2018-05-11T10:53:00Z</dcterms:created>
  <dcterms:modified xsi:type="dcterms:W3CDTF">2018-05-11T11:02:00Z</dcterms:modified>
</cp:coreProperties>
</file>