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D0F3D" w14:textId="587A9F7C" w:rsidR="002C2BE2" w:rsidRPr="00046B48" w:rsidRDefault="00225114">
      <w:pPr>
        <w:rPr>
          <w:b/>
          <w:sz w:val="28"/>
          <w:szCs w:val="28"/>
        </w:rPr>
      </w:pPr>
      <w:proofErr w:type="spellStart"/>
      <w:r w:rsidRPr="00046B48">
        <w:rPr>
          <w:b/>
          <w:sz w:val="28"/>
          <w:szCs w:val="28"/>
        </w:rPr>
        <w:t>Sobrancelhas</w:t>
      </w:r>
      <w:proofErr w:type="spellEnd"/>
      <w:r w:rsidRPr="00046B48">
        <w:rPr>
          <w:b/>
          <w:sz w:val="28"/>
          <w:szCs w:val="28"/>
        </w:rPr>
        <w:t xml:space="preserve"> </w:t>
      </w:r>
      <w:proofErr w:type="spellStart"/>
      <w:r w:rsidRPr="00046B48">
        <w:rPr>
          <w:b/>
          <w:sz w:val="28"/>
          <w:szCs w:val="28"/>
        </w:rPr>
        <w:t>expressivas</w:t>
      </w:r>
      <w:proofErr w:type="spellEnd"/>
      <w:r w:rsidRPr="00046B48">
        <w:rPr>
          <w:b/>
          <w:sz w:val="28"/>
          <w:szCs w:val="28"/>
        </w:rPr>
        <w:t xml:space="preserve"> </w:t>
      </w:r>
      <w:proofErr w:type="spellStart"/>
      <w:r w:rsidRPr="00046B48">
        <w:rPr>
          <w:b/>
          <w:sz w:val="28"/>
          <w:szCs w:val="28"/>
        </w:rPr>
        <w:t>na</w:t>
      </w:r>
      <w:proofErr w:type="spellEnd"/>
      <w:r w:rsidRPr="00046B48">
        <w:rPr>
          <w:b/>
          <w:sz w:val="28"/>
          <w:szCs w:val="28"/>
        </w:rPr>
        <w:t xml:space="preserve"> </w:t>
      </w:r>
      <w:proofErr w:type="spellStart"/>
      <w:r w:rsidRPr="00046B48">
        <w:rPr>
          <w:b/>
          <w:sz w:val="28"/>
          <w:szCs w:val="28"/>
        </w:rPr>
        <w:t>evolução</w:t>
      </w:r>
      <w:proofErr w:type="spellEnd"/>
      <w:r w:rsidRPr="00046B48">
        <w:rPr>
          <w:b/>
          <w:sz w:val="28"/>
          <w:szCs w:val="28"/>
        </w:rPr>
        <w:t xml:space="preserve"> </w:t>
      </w:r>
      <w:proofErr w:type="spellStart"/>
      <w:r w:rsidRPr="00046B48">
        <w:rPr>
          <w:b/>
          <w:sz w:val="28"/>
          <w:szCs w:val="28"/>
        </w:rPr>
        <w:t>humana</w:t>
      </w:r>
      <w:proofErr w:type="spellEnd"/>
    </w:p>
    <w:p w14:paraId="73452DFD" w14:textId="400229DD" w:rsidR="00225114" w:rsidRPr="00046B48" w:rsidRDefault="00225114">
      <w:pPr>
        <w:rPr>
          <w:sz w:val="24"/>
          <w:szCs w:val="24"/>
        </w:rPr>
      </w:pPr>
    </w:p>
    <w:p w14:paraId="2EFAD719" w14:textId="5AD130DE" w:rsidR="00225114" w:rsidRPr="00046B48" w:rsidRDefault="00225114" w:rsidP="00225114">
      <w:pPr>
        <w:spacing w:line="240" w:lineRule="auto"/>
        <w:jc w:val="both"/>
        <w:rPr>
          <w:rFonts w:eastAsia="Times New Roman"/>
          <w:b/>
          <w:sz w:val="24"/>
          <w:szCs w:val="24"/>
          <w:lang w:val="pt-PT" w:eastAsia="en-GB"/>
        </w:rPr>
      </w:pPr>
      <w:r w:rsidRPr="00046B48">
        <w:rPr>
          <w:rFonts w:eastAsia="Times New Roman"/>
          <w:b/>
          <w:sz w:val="24"/>
          <w:szCs w:val="24"/>
          <w:lang w:val="pt-PT" w:eastAsia="en-GB"/>
        </w:rPr>
        <w:t>Investigador da U</w:t>
      </w:r>
      <w:r w:rsidRPr="00046B48">
        <w:rPr>
          <w:rFonts w:eastAsia="Times New Roman"/>
          <w:b/>
          <w:sz w:val="24"/>
          <w:szCs w:val="24"/>
          <w:lang w:val="pt-PT" w:eastAsia="en-GB"/>
        </w:rPr>
        <w:t>niversidade do Algarve</w:t>
      </w:r>
      <w:r w:rsidRPr="00046B48">
        <w:rPr>
          <w:rFonts w:eastAsia="Times New Roman"/>
          <w:b/>
          <w:sz w:val="24"/>
          <w:szCs w:val="24"/>
          <w:lang w:val="pt-PT" w:eastAsia="en-GB"/>
        </w:rPr>
        <w:t xml:space="preserve"> mostra porque terão sido importantes na evolução humana as sobrancelhas expressivas</w:t>
      </w:r>
      <w:r w:rsidRPr="00046B48">
        <w:rPr>
          <w:rFonts w:eastAsia="Times New Roman"/>
          <w:b/>
          <w:sz w:val="24"/>
          <w:szCs w:val="24"/>
          <w:lang w:val="pt-PT" w:eastAsia="en-GB"/>
        </w:rPr>
        <w:t>.</w:t>
      </w:r>
    </w:p>
    <w:p w14:paraId="221B0B42" w14:textId="77777777" w:rsidR="00046B48" w:rsidRDefault="00046B48" w:rsidP="00225114">
      <w:pPr>
        <w:jc w:val="both"/>
        <w:rPr>
          <w:rFonts w:eastAsia="Times New Roman"/>
          <w:sz w:val="24"/>
          <w:szCs w:val="24"/>
          <w:lang w:val="pt-PT" w:eastAsia="en-GB"/>
        </w:rPr>
      </w:pPr>
    </w:p>
    <w:p w14:paraId="681A9A25" w14:textId="18E19B99" w:rsidR="00225114" w:rsidRPr="00046B48" w:rsidRDefault="00225114" w:rsidP="00046B48">
      <w:pPr>
        <w:spacing w:after="0" w:line="360" w:lineRule="auto"/>
        <w:jc w:val="both"/>
        <w:rPr>
          <w:rFonts w:eastAsia="Times New Roman" w:cs="Arial"/>
          <w:bCs/>
          <w:sz w:val="24"/>
          <w:szCs w:val="24"/>
          <w:shd w:val="clear" w:color="auto" w:fill="FFFFFF"/>
          <w:lang w:val="pt-PT" w:eastAsia="en-GB"/>
        </w:rPr>
      </w:pPr>
      <w:bookmarkStart w:id="0" w:name="_GoBack"/>
      <w:r w:rsidRPr="00046B48">
        <w:rPr>
          <w:rFonts w:eastAsia="Times New Roman"/>
          <w:sz w:val="24"/>
          <w:szCs w:val="24"/>
          <w:lang w:val="pt-PT" w:eastAsia="en-GB"/>
        </w:rPr>
        <w:t>Um estudo realizado na Universidade de York por Ricardo Miguel Godinho, investigador do Centro Interdisciplinar de Arqueologia e Evolução do Comportamento Humano (</w:t>
      </w:r>
      <w:proofErr w:type="spellStart"/>
      <w:r w:rsidRPr="00046B48">
        <w:rPr>
          <w:rFonts w:eastAsia="Times New Roman"/>
          <w:sz w:val="24"/>
          <w:szCs w:val="24"/>
          <w:lang w:val="pt-PT" w:eastAsia="en-GB"/>
        </w:rPr>
        <w:t>ICArHEB</w:t>
      </w:r>
      <w:proofErr w:type="spellEnd"/>
      <w:r w:rsidRPr="00046B48">
        <w:rPr>
          <w:rFonts w:eastAsia="Times New Roman"/>
          <w:sz w:val="24"/>
          <w:szCs w:val="24"/>
          <w:lang w:val="pt-PT" w:eastAsia="en-GB"/>
        </w:rPr>
        <w:t xml:space="preserve">) da Universidade do Algarve, sugere que sobrancelhas muito móveis e capazes de exprimir emoções subtis poderão ter sido essenciais na comunicação não-verbal na evolução humana recente. </w:t>
      </w:r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>As principais conclusões deste estudo, intitulado</w:t>
      </w:r>
      <w:r w:rsidRPr="00046B48">
        <w:rPr>
          <w:rFonts w:eastAsia="Times New Roman"/>
          <w:sz w:val="24"/>
          <w:szCs w:val="24"/>
          <w:lang w:val="pt-PT" w:eastAsia="en-GB"/>
        </w:rPr>
        <w:t xml:space="preserve"> “</w:t>
      </w:r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 xml:space="preserve">Supraorbital </w:t>
      </w:r>
      <w:proofErr w:type="spellStart"/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>morphology</w:t>
      </w:r>
      <w:proofErr w:type="spellEnd"/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 xml:space="preserve"> </w:t>
      </w:r>
      <w:proofErr w:type="spellStart"/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>and</w:t>
      </w:r>
      <w:proofErr w:type="spellEnd"/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 xml:space="preserve"> social </w:t>
      </w:r>
      <w:proofErr w:type="spellStart"/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>dynamics</w:t>
      </w:r>
      <w:proofErr w:type="spellEnd"/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 xml:space="preserve"> in </w:t>
      </w:r>
      <w:proofErr w:type="spellStart"/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>human</w:t>
      </w:r>
      <w:proofErr w:type="spellEnd"/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 xml:space="preserve"> </w:t>
      </w:r>
      <w:proofErr w:type="spellStart"/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>evolution</w:t>
      </w:r>
      <w:proofErr w:type="spellEnd"/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>”, foram publicadas, no dia 9 de abril, na revista</w:t>
      </w:r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 xml:space="preserve"> </w:t>
      </w:r>
      <w:proofErr w:type="spellStart"/>
      <w:r w:rsidRPr="00046B48">
        <w:rPr>
          <w:rFonts w:eastAsia="Times New Roman" w:cs="Arial"/>
          <w:bCs/>
          <w:sz w:val="24"/>
          <w:szCs w:val="24"/>
          <w:shd w:val="clear" w:color="auto" w:fill="FFFFFF"/>
          <w:lang w:val="pt-PT" w:eastAsia="en-GB"/>
        </w:rPr>
        <w:t>Nature</w:t>
      </w:r>
      <w:proofErr w:type="spellEnd"/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 xml:space="preserve"> </w:t>
      </w:r>
      <w:proofErr w:type="spellStart"/>
      <w:r w:rsidRPr="00046B48">
        <w:rPr>
          <w:rFonts w:eastAsia="Times New Roman" w:cs="Arial"/>
          <w:bCs/>
          <w:sz w:val="24"/>
          <w:szCs w:val="24"/>
          <w:shd w:val="clear" w:color="auto" w:fill="FFFFFF"/>
          <w:lang w:val="pt-PT" w:eastAsia="en-GB"/>
        </w:rPr>
        <w:t>Ecology</w:t>
      </w:r>
      <w:proofErr w:type="spellEnd"/>
      <w:r w:rsidRPr="00046B48">
        <w:rPr>
          <w:rFonts w:eastAsia="Times New Roman" w:cs="Arial"/>
          <w:sz w:val="24"/>
          <w:szCs w:val="24"/>
          <w:shd w:val="clear" w:color="auto" w:fill="FFFFFF"/>
          <w:lang w:val="pt-PT" w:eastAsia="en-GB"/>
        </w:rPr>
        <w:t xml:space="preserve"> &amp; </w:t>
      </w:r>
      <w:proofErr w:type="spellStart"/>
      <w:r w:rsidRPr="00046B48">
        <w:rPr>
          <w:rFonts w:eastAsia="Times New Roman" w:cs="Arial"/>
          <w:bCs/>
          <w:sz w:val="24"/>
          <w:szCs w:val="24"/>
          <w:shd w:val="clear" w:color="auto" w:fill="FFFFFF"/>
          <w:lang w:val="pt-PT" w:eastAsia="en-GB"/>
        </w:rPr>
        <w:t>Evolution</w:t>
      </w:r>
      <w:proofErr w:type="spellEnd"/>
      <w:r w:rsidRPr="00046B48">
        <w:rPr>
          <w:rFonts w:eastAsia="Times New Roman" w:cs="Arial"/>
          <w:bCs/>
          <w:sz w:val="24"/>
          <w:szCs w:val="24"/>
          <w:shd w:val="clear" w:color="auto" w:fill="FFFFFF"/>
          <w:lang w:val="pt-PT" w:eastAsia="en-GB"/>
        </w:rPr>
        <w:t>.</w:t>
      </w:r>
    </w:p>
    <w:p w14:paraId="5F9862E5" w14:textId="09B0BC20" w:rsidR="00225114" w:rsidRPr="00046B48" w:rsidRDefault="00225114" w:rsidP="00046B48">
      <w:pPr>
        <w:spacing w:after="0" w:line="360" w:lineRule="auto"/>
        <w:jc w:val="both"/>
        <w:rPr>
          <w:rFonts w:eastAsia="Times New Roman"/>
          <w:sz w:val="24"/>
          <w:szCs w:val="24"/>
          <w:lang w:val="pt-PT" w:eastAsia="en-GB"/>
        </w:rPr>
      </w:pPr>
      <w:r w:rsidRPr="00046B48">
        <w:rPr>
          <w:rFonts w:eastAsia="Times New Roman"/>
          <w:sz w:val="24"/>
          <w:szCs w:val="24"/>
          <w:lang w:val="pt-PT" w:eastAsia="en-GB"/>
        </w:rPr>
        <w:t xml:space="preserve">Ricardo Miguel Godinho integrou um grupo de investigadores no âmbito do seu doutoramento na Universidade de York, onde realizou várias simulações. Para analisar a função da arcada supraciliar, utilizaram um crânio </w:t>
      </w:r>
      <w:proofErr w:type="spellStart"/>
      <w:r w:rsidRPr="00046B48">
        <w:rPr>
          <w:rFonts w:eastAsia="Times New Roman"/>
          <w:sz w:val="24"/>
          <w:szCs w:val="24"/>
          <w:lang w:val="pt-PT" w:eastAsia="en-GB"/>
        </w:rPr>
        <w:t>hominíneo</w:t>
      </w:r>
      <w:proofErr w:type="spellEnd"/>
      <w:r w:rsidRPr="00046B48">
        <w:rPr>
          <w:rFonts w:eastAsia="Times New Roman"/>
          <w:sz w:val="24"/>
          <w:szCs w:val="24"/>
          <w:lang w:val="pt-PT" w:eastAsia="en-GB"/>
        </w:rPr>
        <w:t xml:space="preserve"> fóssil icónico, </w:t>
      </w:r>
      <w:proofErr w:type="spellStart"/>
      <w:r w:rsidRPr="00046B48">
        <w:rPr>
          <w:rFonts w:eastAsia="Times New Roman"/>
          <w:sz w:val="24"/>
          <w:szCs w:val="24"/>
          <w:lang w:val="pt-PT" w:eastAsia="en-GB"/>
        </w:rPr>
        <w:t>Kabwe</w:t>
      </w:r>
      <w:proofErr w:type="spellEnd"/>
      <w:r w:rsidRPr="00046B48">
        <w:rPr>
          <w:rFonts w:eastAsia="Times New Roman"/>
          <w:sz w:val="24"/>
          <w:szCs w:val="24"/>
          <w:lang w:val="pt-PT" w:eastAsia="en-GB"/>
        </w:rPr>
        <w:t xml:space="preserve"> 1, que se encontra depositado na coleção do Museu de História Natural de Londres. Este crânio pertence àquela que é considerada por muitos como a nossa espécie ancestral, </w:t>
      </w:r>
      <w:r w:rsidRPr="00046B48">
        <w:rPr>
          <w:rFonts w:eastAsia="Times New Roman"/>
          <w:i/>
          <w:sz w:val="24"/>
          <w:szCs w:val="24"/>
          <w:lang w:val="pt-PT" w:eastAsia="en-GB"/>
        </w:rPr>
        <w:t xml:space="preserve">Homo </w:t>
      </w:r>
      <w:proofErr w:type="spellStart"/>
      <w:r w:rsidRPr="00046B48">
        <w:rPr>
          <w:rFonts w:eastAsia="Times New Roman"/>
          <w:i/>
          <w:sz w:val="24"/>
          <w:szCs w:val="24"/>
          <w:lang w:val="pt-PT" w:eastAsia="en-GB"/>
        </w:rPr>
        <w:t>heidelbergensis</w:t>
      </w:r>
      <w:proofErr w:type="spellEnd"/>
      <w:r w:rsidRPr="00046B48">
        <w:rPr>
          <w:rFonts w:eastAsia="Times New Roman"/>
          <w:sz w:val="24"/>
          <w:szCs w:val="24"/>
          <w:lang w:val="pt-PT" w:eastAsia="en-GB"/>
        </w:rPr>
        <w:t>, que terá existido entre há 600</w:t>
      </w:r>
      <w:r w:rsidRPr="00046B48">
        <w:rPr>
          <w:rFonts w:eastAsia="Times New Roman"/>
          <w:sz w:val="24"/>
          <w:szCs w:val="24"/>
          <w:lang w:val="pt-PT" w:eastAsia="en-GB"/>
        </w:rPr>
        <w:t xml:space="preserve"> </w:t>
      </w:r>
      <w:r w:rsidRPr="00046B48">
        <w:rPr>
          <w:rFonts w:eastAsia="Times New Roman"/>
          <w:sz w:val="24"/>
          <w:szCs w:val="24"/>
          <w:lang w:val="pt-PT" w:eastAsia="en-GB"/>
        </w:rPr>
        <w:t>000 a 200</w:t>
      </w:r>
      <w:r w:rsidRPr="00046B48">
        <w:rPr>
          <w:rFonts w:eastAsia="Times New Roman"/>
          <w:sz w:val="24"/>
          <w:szCs w:val="24"/>
          <w:lang w:val="pt-PT" w:eastAsia="en-GB"/>
        </w:rPr>
        <w:t xml:space="preserve"> </w:t>
      </w:r>
      <w:r w:rsidRPr="00046B48">
        <w:rPr>
          <w:rFonts w:eastAsia="Times New Roman"/>
          <w:sz w:val="24"/>
          <w:szCs w:val="24"/>
          <w:lang w:val="pt-PT" w:eastAsia="en-GB"/>
        </w:rPr>
        <w:t>000 anos.</w:t>
      </w:r>
    </w:p>
    <w:p w14:paraId="7416C2C8" w14:textId="77777777" w:rsidR="00225114" w:rsidRPr="00046B48" w:rsidRDefault="00225114" w:rsidP="00046B48">
      <w:pPr>
        <w:spacing w:after="0" w:line="360" w:lineRule="auto"/>
        <w:jc w:val="both"/>
        <w:rPr>
          <w:rFonts w:eastAsia="Times New Roman"/>
          <w:sz w:val="24"/>
          <w:szCs w:val="24"/>
          <w:lang w:val="pt-PT" w:eastAsia="en-GB"/>
        </w:rPr>
      </w:pPr>
      <w:r w:rsidRPr="00046B48">
        <w:rPr>
          <w:rFonts w:eastAsia="Times New Roman"/>
          <w:sz w:val="24"/>
          <w:szCs w:val="24"/>
          <w:lang w:val="pt-PT" w:eastAsia="en-GB"/>
        </w:rPr>
        <w:t xml:space="preserve">Utilizando técnicas computacionais de engenharia os investigadores concluíram que as duas hipóteses mais comuns para explicar a presença de arcadas supraciliares proeminentes, a hipótese espacial e a mastigatória, não são suficientes para explicar a arcada massiva de </w:t>
      </w:r>
      <w:proofErr w:type="spellStart"/>
      <w:r w:rsidRPr="00046B48">
        <w:rPr>
          <w:rFonts w:eastAsia="Times New Roman"/>
          <w:sz w:val="24"/>
          <w:szCs w:val="24"/>
          <w:lang w:val="pt-PT" w:eastAsia="en-GB"/>
        </w:rPr>
        <w:t>Kabwe</w:t>
      </w:r>
      <w:proofErr w:type="spellEnd"/>
      <w:r w:rsidRPr="00046B48">
        <w:rPr>
          <w:rFonts w:eastAsia="Times New Roman"/>
          <w:sz w:val="24"/>
          <w:szCs w:val="24"/>
          <w:lang w:val="pt-PT" w:eastAsia="en-GB"/>
        </w:rPr>
        <w:t xml:space="preserve"> 1. A hipótese espacial propõe que as arcadas supraciliares se formam para ocupar o espaço entre a caixa craniana e as órbitas. A hipótese mastigatória propõe que as arcadas supraciliares se desenvolvem para estabilizar o crânio contra as forças desenvolvidas durante a mastigação.</w:t>
      </w:r>
    </w:p>
    <w:p w14:paraId="283B5976" w14:textId="77777777" w:rsidR="00225114" w:rsidRPr="00046B48" w:rsidRDefault="00225114" w:rsidP="00046B48">
      <w:pPr>
        <w:spacing w:after="0" w:line="360" w:lineRule="auto"/>
        <w:jc w:val="both"/>
        <w:rPr>
          <w:rFonts w:eastAsia="Times New Roman"/>
          <w:sz w:val="24"/>
          <w:szCs w:val="24"/>
          <w:lang w:val="pt-PT" w:eastAsia="en-GB"/>
        </w:rPr>
      </w:pPr>
      <w:r w:rsidRPr="00046B48">
        <w:rPr>
          <w:rFonts w:eastAsia="Times New Roman"/>
          <w:sz w:val="24"/>
          <w:szCs w:val="24"/>
          <w:lang w:val="pt-PT" w:eastAsia="en-GB"/>
        </w:rPr>
        <w:t xml:space="preserve">“Através de software de modelação 3D modificámos a arcada supraciliar massiva de </w:t>
      </w:r>
      <w:proofErr w:type="spellStart"/>
      <w:r w:rsidRPr="00046B48">
        <w:rPr>
          <w:rFonts w:eastAsia="Times New Roman"/>
          <w:sz w:val="24"/>
          <w:szCs w:val="24"/>
          <w:lang w:val="pt-PT" w:eastAsia="en-GB"/>
        </w:rPr>
        <w:t>Kabwe</w:t>
      </w:r>
      <w:proofErr w:type="spellEnd"/>
      <w:r w:rsidRPr="00046B48">
        <w:rPr>
          <w:rFonts w:eastAsia="Times New Roman"/>
          <w:sz w:val="24"/>
          <w:szCs w:val="24"/>
          <w:lang w:val="pt-PT" w:eastAsia="en-GB"/>
        </w:rPr>
        <w:t xml:space="preserve"> 1. Como foi possível reduzi-la significativamente, percebemos que a arcada não é assim tão grande apenas devido ao espaço entre a caixa craniana e as órbitas”, explica o investigador da </w:t>
      </w:r>
      <w:proofErr w:type="spellStart"/>
      <w:r w:rsidRPr="00046B48">
        <w:rPr>
          <w:rFonts w:eastAsia="Times New Roman"/>
          <w:sz w:val="24"/>
          <w:szCs w:val="24"/>
          <w:lang w:val="pt-PT" w:eastAsia="en-GB"/>
        </w:rPr>
        <w:t>UAlg</w:t>
      </w:r>
      <w:proofErr w:type="spellEnd"/>
      <w:r w:rsidRPr="00046B48">
        <w:rPr>
          <w:rFonts w:eastAsia="Times New Roman"/>
          <w:sz w:val="24"/>
          <w:szCs w:val="24"/>
          <w:lang w:val="pt-PT" w:eastAsia="en-GB"/>
        </w:rPr>
        <w:t xml:space="preserve">. “Em seguida simulámos mastigação em vários dentes e percebemos que a arcada supraciliar não se deforma significativamente durante a mastigação, sendo os resultados </w:t>
      </w:r>
      <w:proofErr w:type="spellStart"/>
      <w:r w:rsidRPr="00046B48">
        <w:rPr>
          <w:rFonts w:eastAsia="Times New Roman"/>
          <w:sz w:val="24"/>
          <w:szCs w:val="24"/>
          <w:lang w:val="pt-PT" w:eastAsia="en-GB"/>
        </w:rPr>
        <w:t>practicamente</w:t>
      </w:r>
      <w:proofErr w:type="spellEnd"/>
      <w:r w:rsidRPr="00046B48">
        <w:rPr>
          <w:rFonts w:eastAsia="Times New Roman"/>
          <w:sz w:val="24"/>
          <w:szCs w:val="24"/>
          <w:lang w:val="pt-PT" w:eastAsia="en-GB"/>
        </w:rPr>
        <w:t xml:space="preserve"> iguais entre o crânio original e outras </w:t>
      </w:r>
      <w:r w:rsidRPr="00046B48">
        <w:rPr>
          <w:rFonts w:eastAsia="Times New Roman"/>
          <w:sz w:val="24"/>
          <w:szCs w:val="24"/>
          <w:lang w:val="pt-PT" w:eastAsia="en-GB"/>
        </w:rPr>
        <w:lastRenderedPageBreak/>
        <w:t>versões com a arcada reduzida. Isto significa que a arcada tem relevância limitada para a estabilização do crânio durante a mastigação."</w:t>
      </w:r>
    </w:p>
    <w:p w14:paraId="07E3BF70" w14:textId="77777777" w:rsidR="00225114" w:rsidRPr="00046B48" w:rsidRDefault="00225114" w:rsidP="00046B48">
      <w:pPr>
        <w:spacing w:after="0" w:line="360" w:lineRule="auto"/>
        <w:jc w:val="both"/>
        <w:rPr>
          <w:rFonts w:eastAsia="Times New Roman"/>
          <w:sz w:val="24"/>
          <w:szCs w:val="24"/>
          <w:lang w:val="pt-PT" w:eastAsia="en-GB"/>
        </w:rPr>
      </w:pPr>
      <w:r w:rsidRPr="00046B48">
        <w:rPr>
          <w:rFonts w:eastAsia="Times New Roman"/>
          <w:sz w:val="24"/>
          <w:szCs w:val="24"/>
          <w:lang w:val="pt-PT" w:eastAsia="en-GB"/>
        </w:rPr>
        <w:t xml:space="preserve">Os investigadores puderam concluir, assim, que a forma da arcada supraciliar não se deve unicamente a fatores espaciais ou mastigatórios. </w:t>
      </w:r>
    </w:p>
    <w:p w14:paraId="4733EEAC" w14:textId="77777777" w:rsidR="00225114" w:rsidRPr="00046B48" w:rsidRDefault="00225114" w:rsidP="00046B48">
      <w:pPr>
        <w:spacing w:after="0" w:line="360" w:lineRule="auto"/>
        <w:jc w:val="both"/>
        <w:rPr>
          <w:rFonts w:eastAsia="Times New Roman"/>
          <w:sz w:val="24"/>
          <w:szCs w:val="24"/>
          <w:lang w:val="pt-PT" w:eastAsia="en-GB"/>
        </w:rPr>
      </w:pPr>
      <w:r w:rsidRPr="00046B48">
        <w:rPr>
          <w:rFonts w:eastAsia="Times New Roman"/>
          <w:sz w:val="24"/>
          <w:szCs w:val="24"/>
          <w:lang w:val="pt-PT" w:eastAsia="en-GB"/>
        </w:rPr>
        <w:t xml:space="preserve">Espécies ancestrais humanas apresentam arcadas supraciliares muito proeminentes, e estas, tal como as armações dos veados, poderiam funcionar como um sinal permanente de dominância e agressividade. “Na nossa espécie, </w:t>
      </w:r>
      <w:r w:rsidRPr="00046B48">
        <w:rPr>
          <w:rFonts w:eastAsia="Times New Roman"/>
          <w:i/>
          <w:sz w:val="24"/>
          <w:szCs w:val="24"/>
          <w:lang w:val="pt-PT" w:eastAsia="en-GB"/>
        </w:rPr>
        <w:t>Homo sapiens</w:t>
      </w:r>
      <w:r w:rsidRPr="00046B48">
        <w:rPr>
          <w:rFonts w:eastAsia="Times New Roman"/>
          <w:sz w:val="24"/>
          <w:szCs w:val="24"/>
          <w:lang w:val="pt-PT" w:eastAsia="en-GB"/>
        </w:rPr>
        <w:t>, as arcadas supraciliares tornaram-se mais pequenas devido à evolução da testa para uma forma mais vertical e suave, tornando as sobrancelhas mais visíveis e capazes de uma amplitude de movimentos mais diversificada e subtil”, explica Ricardo Godinho.</w:t>
      </w:r>
    </w:p>
    <w:p w14:paraId="2E582529" w14:textId="77777777" w:rsidR="00225114" w:rsidRPr="00046B48" w:rsidRDefault="00225114" w:rsidP="00046B48">
      <w:pPr>
        <w:spacing w:after="0" w:line="360" w:lineRule="auto"/>
        <w:jc w:val="both"/>
        <w:rPr>
          <w:rFonts w:eastAsia="Times New Roman"/>
          <w:sz w:val="24"/>
          <w:szCs w:val="24"/>
          <w:lang w:val="pt-PT" w:eastAsia="en-GB"/>
        </w:rPr>
      </w:pPr>
      <w:r w:rsidRPr="00046B48">
        <w:rPr>
          <w:rFonts w:eastAsia="Times New Roman"/>
          <w:sz w:val="24"/>
          <w:szCs w:val="24"/>
          <w:lang w:val="pt-PT" w:eastAsia="en-GB"/>
        </w:rPr>
        <w:t>Segundo o grupo de investigação, “esta mudança permitiu o desenvolvimento e refinamento da comunicação não-verbal através das sobrancelhas, sendo esta essencial na transmissão de emoções subtis como a simpatia e o reconhecimento”. Na opinião dos investigadores “esta capacidade terá permitido uma maior compreensão e cooperação entre pessoas, essencial para a formação de redes sociais de grande dimensão”.</w:t>
      </w:r>
    </w:p>
    <w:p w14:paraId="06966639" w14:textId="77777777" w:rsidR="00225114" w:rsidRPr="00046B48" w:rsidRDefault="00225114" w:rsidP="00046B48">
      <w:pPr>
        <w:spacing w:after="0" w:line="360" w:lineRule="auto"/>
        <w:jc w:val="both"/>
        <w:rPr>
          <w:rFonts w:eastAsia="Times New Roman"/>
          <w:sz w:val="24"/>
          <w:szCs w:val="24"/>
          <w:lang w:val="pt-PT" w:eastAsia="en-GB"/>
        </w:rPr>
      </w:pPr>
      <w:r w:rsidRPr="00046B48">
        <w:rPr>
          <w:rFonts w:eastAsia="Times New Roman"/>
          <w:sz w:val="24"/>
          <w:szCs w:val="24"/>
          <w:lang w:val="pt-PT" w:eastAsia="en-GB"/>
        </w:rPr>
        <w:t xml:space="preserve">Este estudo contribui, assim, para o longo debate acerca da razão porque outros </w:t>
      </w:r>
      <w:proofErr w:type="spellStart"/>
      <w:r w:rsidRPr="00046B48">
        <w:rPr>
          <w:rFonts w:eastAsia="Times New Roman"/>
          <w:sz w:val="24"/>
          <w:szCs w:val="24"/>
          <w:lang w:val="pt-PT" w:eastAsia="en-GB"/>
        </w:rPr>
        <w:t>hominíneos</w:t>
      </w:r>
      <w:proofErr w:type="spellEnd"/>
      <w:r w:rsidRPr="00046B48">
        <w:rPr>
          <w:rFonts w:eastAsia="Times New Roman"/>
          <w:sz w:val="24"/>
          <w:szCs w:val="24"/>
          <w:lang w:val="pt-PT" w:eastAsia="en-GB"/>
        </w:rPr>
        <w:t>, incluindo a nossa espécie ancestral (</w:t>
      </w:r>
      <w:r w:rsidRPr="00046B48">
        <w:rPr>
          <w:rFonts w:eastAsia="Times New Roman"/>
          <w:i/>
          <w:sz w:val="24"/>
          <w:szCs w:val="24"/>
          <w:lang w:val="pt-PT" w:eastAsia="en-GB"/>
        </w:rPr>
        <w:t xml:space="preserve">Homo </w:t>
      </w:r>
      <w:proofErr w:type="spellStart"/>
      <w:r w:rsidRPr="00046B48">
        <w:rPr>
          <w:rFonts w:eastAsia="Times New Roman"/>
          <w:i/>
          <w:sz w:val="24"/>
          <w:szCs w:val="24"/>
          <w:lang w:val="pt-PT" w:eastAsia="en-GB"/>
        </w:rPr>
        <w:t>heidelbergensis</w:t>
      </w:r>
      <w:proofErr w:type="spellEnd"/>
      <w:r w:rsidRPr="00046B48">
        <w:rPr>
          <w:rFonts w:eastAsia="Times New Roman"/>
          <w:sz w:val="24"/>
          <w:szCs w:val="24"/>
          <w:lang w:val="pt-PT" w:eastAsia="en-GB"/>
        </w:rPr>
        <w:t xml:space="preserve">), tinham arcadas supraciliares tão protuberantes e nós, </w:t>
      </w:r>
      <w:r w:rsidRPr="00046B48">
        <w:rPr>
          <w:rFonts w:eastAsia="Times New Roman"/>
          <w:i/>
          <w:sz w:val="24"/>
          <w:szCs w:val="24"/>
          <w:lang w:val="pt-PT" w:eastAsia="en-GB"/>
        </w:rPr>
        <w:t>Homo sapiens</w:t>
      </w:r>
      <w:r w:rsidRPr="00046B48">
        <w:rPr>
          <w:rFonts w:eastAsia="Times New Roman"/>
          <w:sz w:val="24"/>
          <w:szCs w:val="24"/>
          <w:lang w:val="pt-PT" w:eastAsia="en-GB"/>
        </w:rPr>
        <w:t>, temos uma testa vertical com arcadas muito reduzidas.</w:t>
      </w:r>
    </w:p>
    <w:p w14:paraId="52DC4164" w14:textId="54291E36" w:rsidR="00225114" w:rsidRPr="00046B48" w:rsidRDefault="00225114" w:rsidP="00046B48">
      <w:pPr>
        <w:spacing w:after="0" w:line="360" w:lineRule="auto"/>
        <w:jc w:val="both"/>
        <w:rPr>
          <w:rFonts w:eastAsia="Times New Roman"/>
          <w:sz w:val="24"/>
          <w:szCs w:val="24"/>
          <w:lang w:val="pt-PT" w:eastAsia="en-GB"/>
        </w:rPr>
      </w:pPr>
      <w:r w:rsidRPr="00046B48">
        <w:rPr>
          <w:rFonts w:eastAsia="Times New Roman"/>
          <w:sz w:val="24"/>
          <w:szCs w:val="24"/>
          <w:lang w:val="pt-PT" w:eastAsia="en-GB"/>
        </w:rPr>
        <w:t xml:space="preserve">De acordo com Paul </w:t>
      </w:r>
      <w:proofErr w:type="spellStart"/>
      <w:r w:rsidRPr="00046B48">
        <w:rPr>
          <w:rFonts w:eastAsia="Times New Roman"/>
          <w:sz w:val="24"/>
          <w:szCs w:val="24"/>
          <w:lang w:val="pt-PT" w:eastAsia="en-GB"/>
        </w:rPr>
        <w:t>O'Higgins</w:t>
      </w:r>
      <w:proofErr w:type="spellEnd"/>
      <w:r w:rsidRPr="00046B48">
        <w:rPr>
          <w:rFonts w:eastAsia="Times New Roman"/>
          <w:sz w:val="24"/>
          <w:szCs w:val="24"/>
          <w:lang w:val="pt-PT" w:eastAsia="en-GB"/>
        </w:rPr>
        <w:t xml:space="preserve"> (professor na Universidade de York e coautor do artigo), “a função de comunicação não-verbal refinada da nossa testa terá inicialmente sido um efeito colateral da redução do tamanho das nossas caras nos últimos 100</w:t>
      </w:r>
      <w:r w:rsidR="00046B48">
        <w:rPr>
          <w:rFonts w:eastAsia="Times New Roman"/>
          <w:sz w:val="24"/>
          <w:szCs w:val="24"/>
          <w:lang w:val="pt-PT" w:eastAsia="en-GB"/>
        </w:rPr>
        <w:t xml:space="preserve"> </w:t>
      </w:r>
      <w:r w:rsidRPr="00046B48">
        <w:rPr>
          <w:rFonts w:eastAsia="Times New Roman"/>
          <w:sz w:val="24"/>
          <w:szCs w:val="24"/>
          <w:lang w:val="pt-PT" w:eastAsia="en-GB"/>
        </w:rPr>
        <w:t>000 anos. Este processo de redução facial acelerou nos últimos 10</w:t>
      </w:r>
      <w:r w:rsidR="00046B48">
        <w:rPr>
          <w:rFonts w:eastAsia="Times New Roman"/>
          <w:sz w:val="24"/>
          <w:szCs w:val="24"/>
          <w:lang w:val="pt-PT" w:eastAsia="en-GB"/>
        </w:rPr>
        <w:t xml:space="preserve"> </w:t>
      </w:r>
      <w:r w:rsidRPr="00046B48">
        <w:rPr>
          <w:rFonts w:eastAsia="Times New Roman"/>
          <w:sz w:val="24"/>
          <w:szCs w:val="24"/>
          <w:lang w:val="pt-PT" w:eastAsia="en-GB"/>
        </w:rPr>
        <w:t>000-20</w:t>
      </w:r>
      <w:r w:rsidR="00046B48">
        <w:rPr>
          <w:rFonts w:eastAsia="Times New Roman"/>
          <w:sz w:val="24"/>
          <w:szCs w:val="24"/>
          <w:lang w:val="pt-PT" w:eastAsia="en-GB"/>
        </w:rPr>
        <w:t xml:space="preserve"> </w:t>
      </w:r>
      <w:r w:rsidRPr="00046B48">
        <w:rPr>
          <w:rFonts w:eastAsia="Times New Roman"/>
          <w:sz w:val="24"/>
          <w:szCs w:val="24"/>
          <w:lang w:val="pt-PT" w:eastAsia="en-GB"/>
        </w:rPr>
        <w:t>000 anos, quando mudámos de caçadores recolectores para agricultores - um estilo de vida que resultou em menos atividade física e numa dieta menos variada e mais mole”.</w:t>
      </w:r>
    </w:p>
    <w:p w14:paraId="66C58B5E" w14:textId="3200A0DA" w:rsidR="00225114" w:rsidRPr="00046B48" w:rsidRDefault="00225114" w:rsidP="00046B48">
      <w:pPr>
        <w:spacing w:after="0" w:line="360" w:lineRule="auto"/>
        <w:jc w:val="both"/>
        <w:rPr>
          <w:rFonts w:eastAsia="Times New Roman"/>
          <w:sz w:val="24"/>
          <w:szCs w:val="24"/>
          <w:lang w:val="pt-PT" w:eastAsia="en-GB"/>
        </w:rPr>
      </w:pPr>
      <w:proofErr w:type="spellStart"/>
      <w:r w:rsidRPr="00046B48">
        <w:rPr>
          <w:rFonts w:eastAsia="Times New Roman"/>
          <w:sz w:val="24"/>
          <w:szCs w:val="24"/>
          <w:lang w:val="pt-PT" w:eastAsia="en-GB"/>
        </w:rPr>
        <w:t>Penny</w:t>
      </w:r>
      <w:proofErr w:type="spellEnd"/>
      <w:r w:rsidRPr="00046B48">
        <w:rPr>
          <w:rFonts w:eastAsia="Times New Roman"/>
          <w:sz w:val="24"/>
          <w:szCs w:val="24"/>
          <w:lang w:val="pt-PT" w:eastAsia="en-GB"/>
        </w:rPr>
        <w:t xml:space="preserve"> </w:t>
      </w:r>
      <w:proofErr w:type="spellStart"/>
      <w:r w:rsidRPr="00046B48">
        <w:rPr>
          <w:rFonts w:eastAsia="Times New Roman"/>
          <w:sz w:val="24"/>
          <w:szCs w:val="24"/>
          <w:lang w:val="pt-PT" w:eastAsia="en-GB"/>
        </w:rPr>
        <w:t>Spikins</w:t>
      </w:r>
      <w:proofErr w:type="spellEnd"/>
      <w:r w:rsidRPr="00046B48">
        <w:rPr>
          <w:rFonts w:eastAsia="Times New Roman"/>
          <w:sz w:val="24"/>
          <w:szCs w:val="24"/>
          <w:lang w:val="pt-PT" w:eastAsia="en-GB"/>
        </w:rPr>
        <w:t xml:space="preserve"> (professora da Universidade de York e coautora do artigo) esclarece que "os movimentos das sobrancelhas permitem-nos expressar emoções complexas assim como perceber as emoções dos outros. Erguer as sobrancelhas rapidamente é um sinal intercultural de reconhecimento e de disponibilidade para a interação social. Erguer as sobrancelhas no meio da testa exprime simpatia. Movimentos ligeiros e pequenos das sobrancelhas são essenciais para identificar confiança e engano. Por outro lado, foi já </w:t>
      </w:r>
      <w:r w:rsidRPr="00046B48">
        <w:rPr>
          <w:rFonts w:eastAsia="Times New Roman"/>
          <w:sz w:val="24"/>
          <w:szCs w:val="24"/>
          <w:lang w:val="pt-PT" w:eastAsia="en-GB"/>
        </w:rPr>
        <w:lastRenderedPageBreak/>
        <w:t>demonstrado que pessoas que têm o movimento das sobrancelhas limitado devido, por exemplo, à aplicação de botox</w:t>
      </w:r>
      <w:r w:rsidR="00046B48">
        <w:rPr>
          <w:rFonts w:eastAsia="Times New Roman"/>
          <w:sz w:val="24"/>
          <w:szCs w:val="24"/>
          <w:lang w:val="pt-PT" w:eastAsia="en-GB"/>
        </w:rPr>
        <w:t>,</w:t>
      </w:r>
      <w:r w:rsidRPr="00046B48">
        <w:rPr>
          <w:rFonts w:eastAsia="Times New Roman"/>
          <w:sz w:val="24"/>
          <w:szCs w:val="24"/>
          <w:lang w:val="pt-PT" w:eastAsia="en-GB"/>
        </w:rPr>
        <w:t xml:space="preserve"> são menos capazes de causar empatia e de se identificarem com as emoções de outros". Assim sendo, “as sobrancelhas são essenciais para explicar como os humanos se tornaram tão bons a interagir uns com os outros."</w:t>
      </w:r>
    </w:p>
    <w:p w14:paraId="43808085" w14:textId="77777777" w:rsidR="00225114" w:rsidRPr="00046B48" w:rsidRDefault="00225114" w:rsidP="00046B48">
      <w:pPr>
        <w:spacing w:after="0" w:line="360" w:lineRule="auto"/>
        <w:rPr>
          <w:rFonts w:eastAsia="Times New Roman"/>
          <w:sz w:val="24"/>
          <w:szCs w:val="24"/>
          <w:lang w:val="pt-PT" w:eastAsia="en-GB"/>
        </w:rPr>
      </w:pPr>
      <w:r w:rsidRPr="00046B48">
        <w:rPr>
          <w:rFonts w:eastAsia="Times New Roman"/>
          <w:sz w:val="24"/>
          <w:szCs w:val="24"/>
          <w:lang w:val="pt-PT" w:eastAsia="en-GB"/>
        </w:rPr>
        <w:t>Este estudo foi parcialmente financiado pela Fundação para a Ciência e Tecnologia.</w:t>
      </w:r>
    </w:p>
    <w:bookmarkEnd w:id="0"/>
    <w:p w14:paraId="2E0CCCF1" w14:textId="6FA49C68" w:rsidR="00225114" w:rsidRPr="00046B48" w:rsidRDefault="00225114">
      <w:pPr>
        <w:rPr>
          <w:sz w:val="24"/>
          <w:szCs w:val="24"/>
          <w:lang w:val="pt-PT"/>
        </w:rPr>
      </w:pPr>
    </w:p>
    <w:p w14:paraId="1911377F" w14:textId="3DA276E7" w:rsidR="00046B48" w:rsidRPr="00046B48" w:rsidRDefault="00046B48">
      <w:pPr>
        <w:rPr>
          <w:sz w:val="24"/>
          <w:szCs w:val="24"/>
          <w:lang w:val="pt-PT"/>
        </w:rPr>
      </w:pPr>
      <w:r w:rsidRPr="00046B48">
        <w:rPr>
          <w:sz w:val="24"/>
          <w:szCs w:val="24"/>
          <w:lang w:val="pt-PT"/>
        </w:rPr>
        <w:t xml:space="preserve">Gabinete de Comunicação - Universidade do Algarve </w:t>
      </w:r>
    </w:p>
    <w:p w14:paraId="1CB85503" w14:textId="23DFAE0C" w:rsidR="00046B48" w:rsidRPr="00046B48" w:rsidRDefault="00046B48">
      <w:pPr>
        <w:rPr>
          <w:sz w:val="24"/>
          <w:szCs w:val="24"/>
          <w:lang w:val="pt-PT"/>
        </w:rPr>
      </w:pPr>
      <w:r w:rsidRPr="00046B48">
        <w:rPr>
          <w:sz w:val="24"/>
          <w:szCs w:val="24"/>
          <w:lang w:val="pt-PT"/>
        </w:rPr>
        <w:t>Ciência na Imprensa Regional – Ciência Viva</w:t>
      </w:r>
    </w:p>
    <w:sectPr w:rsidR="00046B48" w:rsidRPr="00046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06"/>
    <w:rsid w:val="00046B48"/>
    <w:rsid w:val="00225114"/>
    <w:rsid w:val="002C2BE2"/>
    <w:rsid w:val="007E5C06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4071"/>
  <w15:chartTrackingRefBased/>
  <w15:docId w15:val="{05C56407-10AF-4F57-A8A4-C24D140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2018-04-11T13:51:00Z</dcterms:created>
  <dcterms:modified xsi:type="dcterms:W3CDTF">2018-04-11T13:58:00Z</dcterms:modified>
</cp:coreProperties>
</file>