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F348B0" w:rsidRDefault="004748C8">
      <w:pPr>
        <w:rPr>
          <w:rFonts w:cstheme="minorHAnsi"/>
          <w:b/>
          <w:sz w:val="28"/>
          <w:szCs w:val="28"/>
        </w:rPr>
      </w:pPr>
      <w:r w:rsidRPr="00F348B0">
        <w:rPr>
          <w:rFonts w:cstheme="minorHAnsi"/>
          <w:b/>
          <w:sz w:val="28"/>
          <w:szCs w:val="28"/>
        </w:rPr>
        <w:t>O ácaro-aranha pode ser vencido por bactérias</w:t>
      </w:r>
    </w:p>
    <w:p w:rsidR="004748C8" w:rsidRPr="00DF5EAD" w:rsidRDefault="004748C8">
      <w:pPr>
        <w:rPr>
          <w:rFonts w:cstheme="minorHAnsi"/>
          <w:sz w:val="24"/>
          <w:szCs w:val="24"/>
        </w:rPr>
      </w:pPr>
    </w:p>
    <w:p w:rsidR="004748C8" w:rsidRPr="00DF5EAD" w:rsidRDefault="00F348B0">
      <w:pPr>
        <w:rPr>
          <w:rStyle w:val="Forte"/>
          <w:rFonts w:cstheme="minorHAnsi"/>
          <w:color w:val="222222"/>
          <w:sz w:val="24"/>
          <w:szCs w:val="24"/>
        </w:rPr>
      </w:pPr>
      <w:r>
        <w:rPr>
          <w:rStyle w:val="Forte"/>
          <w:rFonts w:cstheme="minorHAnsi"/>
          <w:color w:val="222222"/>
          <w:sz w:val="24"/>
          <w:szCs w:val="24"/>
        </w:rPr>
        <w:t>Novo estudo</w:t>
      </w:r>
      <w:r w:rsidR="004748C8" w:rsidRPr="00DF5EAD">
        <w:rPr>
          <w:rStyle w:val="Forte"/>
          <w:rFonts w:cstheme="minorHAnsi"/>
          <w:color w:val="222222"/>
          <w:sz w:val="24"/>
          <w:szCs w:val="24"/>
        </w:rPr>
        <w:t xml:space="preserve"> revela que o ácaro-aranha (</w:t>
      </w:r>
      <w:proofErr w:type="spellStart"/>
      <w:r w:rsidR="004748C8" w:rsidRPr="00DF5EAD">
        <w:rPr>
          <w:rStyle w:val="nfase"/>
          <w:rFonts w:cstheme="minorHAnsi"/>
          <w:b/>
          <w:bCs/>
          <w:color w:val="222222"/>
          <w:sz w:val="24"/>
          <w:szCs w:val="24"/>
        </w:rPr>
        <w:t>Tetranychus</w:t>
      </w:r>
      <w:proofErr w:type="spellEnd"/>
      <w:r w:rsidR="004748C8" w:rsidRPr="00DF5EAD">
        <w:rPr>
          <w:rStyle w:val="nfase"/>
          <w:rFonts w:cstheme="minorHAnsi"/>
          <w:b/>
          <w:bCs/>
          <w:color w:val="222222"/>
          <w:sz w:val="24"/>
          <w:szCs w:val="24"/>
        </w:rPr>
        <w:t xml:space="preserve"> </w:t>
      </w:r>
      <w:proofErr w:type="spellStart"/>
      <w:r w:rsidR="004748C8" w:rsidRPr="00DF5EAD">
        <w:rPr>
          <w:rStyle w:val="nfase"/>
          <w:rFonts w:cstheme="minorHAnsi"/>
          <w:b/>
          <w:bCs/>
          <w:color w:val="222222"/>
          <w:sz w:val="24"/>
          <w:szCs w:val="24"/>
        </w:rPr>
        <w:t>urticae</w:t>
      </w:r>
      <w:proofErr w:type="spellEnd"/>
      <w:r w:rsidR="004748C8" w:rsidRPr="00DF5EAD">
        <w:rPr>
          <w:rStyle w:val="Forte"/>
          <w:rFonts w:cstheme="minorHAnsi"/>
          <w:color w:val="222222"/>
          <w:sz w:val="24"/>
          <w:szCs w:val="24"/>
        </w:rPr>
        <w:t>), uma conhecida praga mundial de culturas agrícolas, não tem mecanis</w:t>
      </w:r>
      <w:r w:rsidR="005473FD">
        <w:rPr>
          <w:rStyle w:val="Forte"/>
          <w:rFonts w:cstheme="minorHAnsi"/>
          <w:color w:val="222222"/>
          <w:sz w:val="24"/>
          <w:szCs w:val="24"/>
        </w:rPr>
        <w:t>mos de defesa contra bactérias.</w:t>
      </w:r>
      <w:bookmarkStart w:id="0" w:name="_GoBack"/>
      <w:bookmarkEnd w:id="0"/>
    </w:p>
    <w:p w:rsidR="004748C8" w:rsidRPr="00DF5EAD" w:rsidRDefault="004748C8">
      <w:pPr>
        <w:rPr>
          <w:rStyle w:val="Forte"/>
          <w:rFonts w:cstheme="minorHAnsi"/>
          <w:color w:val="222222"/>
          <w:sz w:val="24"/>
          <w:szCs w:val="24"/>
        </w:rPr>
      </w:pPr>
    </w:p>
    <w:p w:rsidR="00782BE7" w:rsidRDefault="004748C8">
      <w:pPr>
        <w:rPr>
          <w:rFonts w:cstheme="minorHAnsi"/>
          <w:color w:val="222222"/>
          <w:sz w:val="24"/>
          <w:szCs w:val="24"/>
        </w:rPr>
      </w:pP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Com menos de um milímetro de comprimento, o ácaro-aranha (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Tetranychus</w:t>
      </w:r>
      <w:proofErr w:type="spellEnd"/>
      <w:r w:rsidRPr="00DF5EAD">
        <w:rPr>
          <w:rStyle w:val="nfase"/>
          <w:rFonts w:cstheme="minorHAnsi"/>
          <w:color w:val="222222"/>
          <w:sz w:val="24"/>
          <w:szCs w:val="24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urticae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) é quase invisível a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olho-nu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. Mas porque se consegue alimentar de centenas de espécies de plantas, incluindo importantes culturas agrícolas como t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omate, pepino, morango e limão, </w:t>
      </w: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os seus efeitos podem ser devastadores. O estudo agora publicado revela que os ácaros-aranha podem ser vencidos pelas bactérias: os investigadores avaliaram os efeitos da infeção com as bactérias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Escherichia</w:t>
      </w:r>
      <w:proofErr w:type="spellEnd"/>
      <w:r w:rsidRPr="00DF5EAD">
        <w:rPr>
          <w:rStyle w:val="nfase"/>
          <w:rFonts w:cstheme="minorHAnsi"/>
          <w:color w:val="222222"/>
          <w:sz w:val="24"/>
          <w:szCs w:val="24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coli</w:t>
      </w:r>
      <w:proofErr w:type="spellEnd"/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e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Baccillus</w:t>
      </w:r>
      <w:proofErr w:type="spellEnd"/>
      <w:r w:rsidRPr="00DF5EAD">
        <w:rPr>
          <w:rStyle w:val="nfase"/>
          <w:rFonts w:cstheme="minorHAnsi"/>
          <w:color w:val="222222"/>
          <w:sz w:val="24"/>
          <w:szCs w:val="24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megaterium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, verificando que os ácaros-aranha não têm mecanismos de defesa contra estas infeções.</w:t>
      </w:r>
    </w:p>
    <w:p w:rsidR="00782BE7" w:rsidRDefault="004748C8">
      <w:pPr>
        <w:rPr>
          <w:rFonts w:cstheme="minorHAnsi"/>
          <w:color w:val="222222"/>
          <w:sz w:val="24"/>
          <w:szCs w:val="24"/>
        </w:rPr>
      </w:pP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“A infeção bacteriana levou a uma morte bastante rápida da maioria dos ácaros-aranha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infectados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, associada ao crescimento contínuo e descontrolado das bactérias no interior dos ácaros. Ao nível genético, verificámos também que os ácaros-aranha não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activam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genes na presença de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patogéneos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como estas bactérias”, explica Gonçalo Santos Matos, primeiro autor do estudo e à data de realização do estudo investigador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hyperlink r:id="rId4" w:tgtFrame="_blank" w:history="1">
        <w:r w:rsidRPr="00DF5EAD">
          <w:rPr>
            <w:rStyle w:val="Hiperligao"/>
            <w:rFonts w:cstheme="minorHAnsi"/>
            <w:color w:val="1155CC"/>
            <w:sz w:val="24"/>
            <w:szCs w:val="24"/>
          </w:rPr>
          <w:t>cE3c – Centro de Ecologia, Evolução e Alterações Ambientais</w:t>
        </w:r>
      </w:hyperlink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sediado na Faculdade de Ciências da Universidade de Lisboa (FCUL) (</w:t>
      </w:r>
      <w:r w:rsidRPr="00DF5EAD">
        <w:rPr>
          <w:rStyle w:val="nfase"/>
          <w:rFonts w:cstheme="minorHAnsi"/>
          <w:color w:val="222222"/>
          <w:sz w:val="24"/>
          <w:szCs w:val="24"/>
        </w:rPr>
        <w:t>Atualmente, Gonçalo Santos Matos é investigador do IGC – Instituto Gulbenkian de Ciência</w:t>
      </w: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).</w:t>
      </w:r>
    </w:p>
    <w:p w:rsidR="00782BE7" w:rsidRDefault="004748C8">
      <w:pPr>
        <w:rPr>
          <w:rFonts w:cstheme="minorHAnsi"/>
          <w:color w:val="222222"/>
          <w:sz w:val="24"/>
          <w:szCs w:val="24"/>
          <w:shd w:val="clear" w:color="auto" w:fill="FAFAFA"/>
        </w:rPr>
      </w:pP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A sequenciação do genoma do ácaro-aranha já tinha revelado que uma boa parte dos genes conhecidos por codificar a resposta imunitária noutros invertebrados estavam ausentes nesta espécie. No entanto, não se sabia se os ácaros-aranha eram à mesma capazes de combater infeções de bactérias recorrendo a outros mecanismos, codificados noutros genes.</w:t>
      </w:r>
    </w:p>
    <w:p w:rsidR="00782BE7" w:rsidRDefault="004748C8">
      <w:pPr>
        <w:rPr>
          <w:rFonts w:cstheme="minorHAnsi"/>
          <w:color w:val="222222"/>
          <w:sz w:val="24"/>
          <w:szCs w:val="24"/>
        </w:rPr>
      </w:pP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É importante notar, no entanto, que nem todos os ácaros apresentam esta ausência de resposta imunitária. Uma outra espécie de ácaro,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Sancassania</w:t>
      </w:r>
      <w:proofErr w:type="spellEnd"/>
      <w:r w:rsidRPr="00DF5EAD">
        <w:rPr>
          <w:rStyle w:val="nfase"/>
          <w:rFonts w:cstheme="minorHAnsi"/>
          <w:color w:val="222222"/>
          <w:sz w:val="24"/>
          <w:szCs w:val="24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berlesei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, é capaz de controlar o crescimento bacteriano e sobreviver à infeção: “Uma diferença importante destes ácaros consiste no habitat que ocupam e na dieta que têm. Enquanto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r w:rsidRPr="00DF5EAD">
        <w:rPr>
          <w:rStyle w:val="nfase"/>
          <w:rFonts w:cstheme="minorHAnsi"/>
          <w:color w:val="222222"/>
          <w:sz w:val="24"/>
          <w:szCs w:val="24"/>
        </w:rPr>
        <w:t xml:space="preserve">S.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berlesei</w:t>
      </w:r>
      <w:proofErr w:type="spellEnd"/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se alimenta de detritos em que a presença de bactérias é mais que provável, o ácaro-aranha alimenta-se chupando o citoplasma das células, um meio virtua</w:t>
      </w:r>
      <w:r w:rsidR="006F22F0"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lmente </w:t>
      </w:r>
      <w:proofErr w:type="spellStart"/>
      <w:r w:rsidR="006F22F0" w:rsidRPr="00DF5EAD">
        <w:rPr>
          <w:rFonts w:cstheme="minorHAnsi"/>
          <w:color w:val="222222"/>
          <w:sz w:val="24"/>
          <w:szCs w:val="24"/>
          <w:shd w:val="clear" w:color="auto" w:fill="FAFAFA"/>
        </w:rPr>
        <w:t>aséptico</w:t>
      </w:r>
      <w:proofErr w:type="spellEnd"/>
      <w:r w:rsidR="006F22F0"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”, </w:t>
      </w:r>
      <w:r w:rsidR="006F22F0" w:rsidRPr="00DF5EAD">
        <w:rPr>
          <w:rFonts w:cstheme="minorHAnsi"/>
          <w:color w:val="222222"/>
          <w:sz w:val="24"/>
          <w:szCs w:val="24"/>
          <w:shd w:val="clear" w:color="auto" w:fill="FFFFFF"/>
        </w:rPr>
        <w:t>conclui Élio Sucena, investigador</w:t>
      </w:r>
      <w:r w:rsidR="00782BE7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6F22F0" w:rsidRPr="00782BE7">
        <w:rPr>
          <w:rFonts w:cstheme="minorHAnsi"/>
          <w:color w:val="222222"/>
          <w:sz w:val="24"/>
          <w:szCs w:val="24"/>
          <w:shd w:val="clear" w:color="auto" w:fill="FFFFFF"/>
        </w:rPr>
        <w:t>da FCUL</w:t>
      </w:r>
      <w:r w:rsidR="00782BE7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6F22F0" w:rsidRPr="00DF5EAD">
        <w:rPr>
          <w:rFonts w:cstheme="minorHAnsi"/>
          <w:color w:val="222222"/>
          <w:sz w:val="24"/>
          <w:szCs w:val="24"/>
          <w:shd w:val="clear" w:color="auto" w:fill="FFFFFF"/>
        </w:rPr>
        <w:t>e do</w:t>
      </w:r>
      <w:r w:rsidR="00782BE7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="006F22F0" w:rsidRPr="00DF5EAD">
          <w:rPr>
            <w:rStyle w:val="Hiperligao"/>
            <w:rFonts w:cstheme="minorHAnsi"/>
            <w:color w:val="1155CC"/>
            <w:sz w:val="24"/>
            <w:szCs w:val="24"/>
            <w:shd w:val="clear" w:color="auto" w:fill="FFFFFF"/>
          </w:rPr>
          <w:t>IGC – Instituto Gulbenkian de Ciência</w:t>
        </w:r>
      </w:hyperlink>
      <w:r w:rsidR="00782BE7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6F22F0" w:rsidRPr="00DF5EAD">
        <w:rPr>
          <w:rFonts w:cstheme="minorHAnsi"/>
          <w:color w:val="222222"/>
          <w:sz w:val="24"/>
          <w:szCs w:val="24"/>
          <w:shd w:val="clear" w:color="auto" w:fill="FFFFFF"/>
        </w:rPr>
        <w:t>e um dos coordenadores do estudo</w:t>
      </w:r>
      <w:r w:rsidR="006F22F0" w:rsidRPr="00782BE7">
        <w:rPr>
          <w:rFonts w:cstheme="minorHAnsi"/>
          <w:color w:val="222222"/>
          <w:sz w:val="24"/>
          <w:szCs w:val="24"/>
          <w:shd w:val="clear" w:color="auto" w:fill="FFFFFF"/>
        </w:rPr>
        <w:t>, em conjunto com Sara Magalhães, investigadora do cE3c</w:t>
      </w:r>
      <w:r w:rsidR="006F22F0" w:rsidRPr="00DF5EAD">
        <w:rPr>
          <w:rFonts w:cstheme="minorHAnsi"/>
          <w:color w:val="222222"/>
          <w:sz w:val="24"/>
          <w:szCs w:val="24"/>
          <w:shd w:val="clear" w:color="auto" w:fill="FFFFFF"/>
        </w:rPr>
        <w:t>”.</w:t>
      </w:r>
    </w:p>
    <w:p w:rsidR="004748C8" w:rsidRDefault="004748C8">
      <w:pPr>
        <w:rPr>
          <w:rFonts w:cstheme="minorHAnsi"/>
          <w:color w:val="222222"/>
          <w:sz w:val="24"/>
          <w:szCs w:val="24"/>
        </w:rPr>
      </w:pP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Este estudo resulta da parceria entre o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hyperlink r:id="rId6" w:tgtFrame="_blank" w:history="1">
        <w:r w:rsidRPr="00DF5EAD">
          <w:rPr>
            <w:rStyle w:val="Hiperligao"/>
            <w:rFonts w:cstheme="minorHAnsi"/>
            <w:color w:val="1155CC"/>
            <w:sz w:val="24"/>
            <w:szCs w:val="24"/>
          </w:rPr>
          <w:t>cE3c – Centro de Ecologia, Evolução e Alterações Ambientais</w:t>
        </w:r>
      </w:hyperlink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e o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hyperlink r:id="rId7" w:tgtFrame="_blank" w:history="1">
        <w:r w:rsidRPr="00DF5EAD">
          <w:rPr>
            <w:rStyle w:val="Hiperligao"/>
            <w:rFonts w:cstheme="minorHAnsi"/>
            <w:color w:val="1155CC"/>
            <w:sz w:val="24"/>
            <w:szCs w:val="24"/>
          </w:rPr>
          <w:t>IGC – Instituto Gulbenkian de Ciência</w:t>
        </w:r>
      </w:hyperlink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, com o apoio de uma equipa internacional.</w:t>
      </w:r>
    </w:p>
    <w:p w:rsidR="00782BE7" w:rsidRPr="00DF5EAD" w:rsidRDefault="00782BE7">
      <w:pPr>
        <w:rPr>
          <w:rStyle w:val="Forte"/>
          <w:rFonts w:cstheme="minorHAnsi"/>
          <w:b w:val="0"/>
          <w:bCs w:val="0"/>
          <w:color w:val="222222"/>
          <w:sz w:val="24"/>
          <w:szCs w:val="24"/>
          <w:shd w:val="clear" w:color="auto" w:fill="FAFAFA"/>
        </w:rPr>
      </w:pPr>
    </w:p>
    <w:p w:rsidR="004748C8" w:rsidRPr="00DF5EAD" w:rsidRDefault="004748C8">
      <w:pPr>
        <w:rPr>
          <w:rStyle w:val="Forte"/>
          <w:rFonts w:cstheme="minorHAnsi"/>
          <w:color w:val="222222"/>
          <w:sz w:val="24"/>
          <w:szCs w:val="24"/>
        </w:rPr>
      </w:pPr>
      <w:r w:rsidRPr="00DF5EAD">
        <w:rPr>
          <w:rStyle w:val="Forte"/>
          <w:rFonts w:cstheme="minorHAnsi"/>
          <w:color w:val="222222"/>
          <w:sz w:val="24"/>
          <w:szCs w:val="24"/>
        </w:rPr>
        <w:t>Referência do artigo:</w:t>
      </w:r>
    </w:p>
    <w:p w:rsidR="004748C8" w:rsidRPr="00DF5EAD" w:rsidRDefault="004748C8">
      <w:pPr>
        <w:rPr>
          <w:rFonts w:cstheme="minorHAnsi"/>
          <w:sz w:val="24"/>
          <w:szCs w:val="24"/>
        </w:rPr>
      </w:pPr>
      <w:r w:rsidRPr="00DF5EAD">
        <w:rPr>
          <w:rStyle w:val="Forte"/>
          <w:rFonts w:cstheme="minorHAnsi"/>
          <w:color w:val="222222"/>
          <w:sz w:val="24"/>
          <w:szCs w:val="24"/>
        </w:rPr>
        <w:lastRenderedPageBreak/>
        <w:t>Santos-Matos G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et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al. 2017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Tetranychus</w:t>
      </w:r>
      <w:proofErr w:type="spellEnd"/>
      <w:r w:rsidRPr="00DF5EAD">
        <w:rPr>
          <w:rStyle w:val="nfase"/>
          <w:rFonts w:cstheme="minorHAnsi"/>
          <w:color w:val="222222"/>
          <w:sz w:val="24"/>
          <w:szCs w:val="24"/>
        </w:rPr>
        <w:t xml:space="preserve">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urticae</w:t>
      </w:r>
      <w:proofErr w:type="spellEnd"/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mites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do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not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mount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an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induced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immune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response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against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proofErr w:type="spellStart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bacteria</w:t>
      </w:r>
      <w:proofErr w:type="spellEnd"/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.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r w:rsidRPr="00DF5EAD">
        <w:rPr>
          <w:rStyle w:val="nfase"/>
          <w:rFonts w:cstheme="minorHAnsi"/>
          <w:color w:val="222222"/>
          <w:sz w:val="24"/>
          <w:szCs w:val="24"/>
        </w:rPr>
        <w:t xml:space="preserve">Proc. R. </w:t>
      </w:r>
      <w:proofErr w:type="spellStart"/>
      <w:r w:rsidRPr="00DF5EAD">
        <w:rPr>
          <w:rStyle w:val="nfase"/>
          <w:rFonts w:cstheme="minorHAnsi"/>
          <w:color w:val="222222"/>
          <w:sz w:val="24"/>
          <w:szCs w:val="24"/>
        </w:rPr>
        <w:t>Soc</w:t>
      </w:r>
      <w:proofErr w:type="spellEnd"/>
      <w:r w:rsidRPr="00DF5EAD">
        <w:rPr>
          <w:rStyle w:val="nfase"/>
          <w:rFonts w:cstheme="minorHAnsi"/>
          <w:color w:val="222222"/>
          <w:sz w:val="24"/>
          <w:szCs w:val="24"/>
        </w:rPr>
        <w:t>. B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r w:rsidRPr="00DF5EAD">
        <w:rPr>
          <w:rStyle w:val="Forte"/>
          <w:rFonts w:cstheme="minorHAnsi"/>
          <w:color w:val="222222"/>
          <w:sz w:val="24"/>
          <w:szCs w:val="24"/>
        </w:rPr>
        <w:t>284</w:t>
      </w: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: 20170401.</w:t>
      </w:r>
      <w:r w:rsidR="00782BE7">
        <w:rPr>
          <w:rFonts w:cstheme="minorHAnsi"/>
          <w:color w:val="222222"/>
          <w:sz w:val="24"/>
          <w:szCs w:val="24"/>
          <w:shd w:val="clear" w:color="auto" w:fill="FAFAFA"/>
        </w:rPr>
        <w:t xml:space="preserve"> </w:t>
      </w:r>
      <w:hyperlink r:id="rId8" w:tgtFrame="_blank" w:history="1">
        <w:r w:rsidRPr="00DF5EAD">
          <w:rPr>
            <w:rStyle w:val="Hiperligao"/>
            <w:rFonts w:cstheme="minorHAnsi"/>
            <w:color w:val="1155CC"/>
            <w:sz w:val="24"/>
            <w:szCs w:val="24"/>
          </w:rPr>
          <w:t>http://dx.doi.org/10.1098/rspb.2017.0401</w:t>
        </w:r>
      </w:hyperlink>
    </w:p>
    <w:p w:rsidR="004748C8" w:rsidRDefault="004748C8">
      <w:pPr>
        <w:rPr>
          <w:rFonts w:cstheme="minorHAnsi"/>
          <w:sz w:val="24"/>
          <w:szCs w:val="24"/>
        </w:rPr>
      </w:pPr>
    </w:p>
    <w:p w:rsidR="005473FD" w:rsidRDefault="005473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Legenda da foto em anexo:</w:t>
      </w:r>
    </w:p>
    <w:p w:rsidR="005473FD" w:rsidRDefault="005473FD">
      <w:pPr>
        <w:rPr>
          <w:rFonts w:cstheme="minorHAnsi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AFAFA"/>
        </w:rPr>
        <w:t>Ácaros-aranha</w:t>
      </w:r>
      <w:r>
        <w:rPr>
          <w:rStyle w:val="nfase"/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AFAFA"/>
        </w:rPr>
        <w:t>(</w:t>
      </w:r>
      <w:proofErr w:type="spellStart"/>
      <w:r>
        <w:rPr>
          <w:rStyle w:val="nfase"/>
          <w:rFonts w:ascii="Arial" w:hAnsi="Arial" w:cs="Arial"/>
          <w:color w:val="222222"/>
          <w:sz w:val="19"/>
          <w:szCs w:val="19"/>
        </w:rPr>
        <w:t>Tetranychus</w:t>
      </w:r>
      <w:proofErr w:type="spellEnd"/>
      <w:r>
        <w:rPr>
          <w:rStyle w:val="nfase"/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Style w:val="nfase"/>
          <w:rFonts w:ascii="Arial" w:hAnsi="Arial" w:cs="Arial"/>
          <w:color w:val="222222"/>
          <w:sz w:val="19"/>
          <w:szCs w:val="19"/>
        </w:rPr>
        <w:t>urticae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AFAFA"/>
        </w:rPr>
        <w:t xml:space="preserve">) fotografados com luz normal durante a realização deste estudo. Ácaro-aranha da direita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AFAFA"/>
        </w:rPr>
        <w:t>infectado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AFAFA"/>
        </w:rPr>
        <w:t xml:space="preserve"> com</w:t>
      </w:r>
      <w:r>
        <w:rPr>
          <w:rFonts w:ascii="Arial" w:hAnsi="Arial" w:cs="Arial"/>
          <w:color w:val="222222"/>
          <w:sz w:val="19"/>
          <w:szCs w:val="19"/>
          <w:shd w:val="clear" w:color="auto" w:fill="FAFAFA"/>
        </w:rPr>
        <w:t xml:space="preserve"> </w:t>
      </w:r>
      <w:r>
        <w:rPr>
          <w:rStyle w:val="nfase"/>
          <w:rFonts w:ascii="Arial" w:hAnsi="Arial" w:cs="Arial"/>
          <w:color w:val="222222"/>
          <w:sz w:val="19"/>
          <w:szCs w:val="19"/>
        </w:rPr>
        <w:t xml:space="preserve">E. </w:t>
      </w:r>
      <w:proofErr w:type="spellStart"/>
      <w:r>
        <w:rPr>
          <w:rStyle w:val="nfase"/>
          <w:rFonts w:ascii="Arial" w:hAnsi="Arial" w:cs="Arial"/>
          <w:color w:val="222222"/>
          <w:sz w:val="19"/>
          <w:szCs w:val="19"/>
        </w:rPr>
        <w:t>coli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AFAFA"/>
        </w:rPr>
        <w:t>, ácaro-aranha da esquerda não foi infetado.</w:t>
      </w:r>
    </w:p>
    <w:p w:rsidR="005473FD" w:rsidRPr="00DF5EAD" w:rsidRDefault="005473FD">
      <w:pPr>
        <w:rPr>
          <w:rFonts w:cstheme="minorHAnsi"/>
          <w:sz w:val="24"/>
          <w:szCs w:val="24"/>
        </w:rPr>
      </w:pPr>
    </w:p>
    <w:p w:rsidR="004748C8" w:rsidRPr="00DF5EAD" w:rsidRDefault="004748C8">
      <w:pPr>
        <w:rPr>
          <w:rFonts w:cstheme="minorHAnsi"/>
          <w:color w:val="222222"/>
          <w:sz w:val="24"/>
          <w:szCs w:val="24"/>
          <w:shd w:val="clear" w:color="auto" w:fill="FAFAFA"/>
        </w:rPr>
      </w:pP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Gabinete de Comunicação do cE3c - Centro de Ecologia, Evolução e Alterações Ambientais</w:t>
      </w:r>
    </w:p>
    <w:p w:rsidR="004748C8" w:rsidRPr="00DF5EAD" w:rsidRDefault="004748C8">
      <w:pPr>
        <w:rPr>
          <w:rFonts w:cstheme="minorHAnsi"/>
          <w:color w:val="222222"/>
          <w:sz w:val="24"/>
          <w:szCs w:val="24"/>
          <w:shd w:val="clear" w:color="auto" w:fill="FAFAFA"/>
        </w:rPr>
      </w:pPr>
      <w:r w:rsidRPr="00DF5EAD">
        <w:rPr>
          <w:rFonts w:cstheme="minorHAnsi"/>
          <w:color w:val="222222"/>
          <w:sz w:val="24"/>
          <w:szCs w:val="24"/>
          <w:shd w:val="clear" w:color="auto" w:fill="FAFAFA"/>
        </w:rPr>
        <w:t>Ciência na Imprensa Regional – Ciência Viva</w:t>
      </w:r>
    </w:p>
    <w:sectPr w:rsidR="004748C8" w:rsidRPr="00DF5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DA"/>
    <w:rsid w:val="002C2BE2"/>
    <w:rsid w:val="004748C8"/>
    <w:rsid w:val="005473FD"/>
    <w:rsid w:val="006F22F0"/>
    <w:rsid w:val="00782BE7"/>
    <w:rsid w:val="00886DDA"/>
    <w:rsid w:val="00C26C8F"/>
    <w:rsid w:val="00DF5EAD"/>
    <w:rsid w:val="00F3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C80A"/>
  <w15:chartTrackingRefBased/>
  <w15:docId w15:val="{52C06A66-B846-411E-B807-662DA1E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4748C8"/>
    <w:rPr>
      <w:b/>
      <w:bCs/>
    </w:rPr>
  </w:style>
  <w:style w:type="character" w:styleId="nfase">
    <w:name w:val="Emphasis"/>
    <w:basedOn w:val="Tipodeletrapredefinidodopargrafo"/>
    <w:uiPriority w:val="20"/>
    <w:qFormat/>
    <w:rsid w:val="004748C8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474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98/rspb.2017.04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gc.gulbenkian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3c.ciencias.ulisboa.pt/" TargetMode="External"/><Relationship Id="rId5" Type="http://schemas.openxmlformats.org/officeDocument/2006/relationships/hyperlink" Target="http://www.igc.gulbenkian.p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e3c.ciencias.ulisboa.p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8</cp:revision>
  <dcterms:created xsi:type="dcterms:W3CDTF">2017-06-30T10:28:00Z</dcterms:created>
  <dcterms:modified xsi:type="dcterms:W3CDTF">2017-06-30T10:35:00Z</dcterms:modified>
</cp:coreProperties>
</file>