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4B" w:rsidRPr="00541C4B" w:rsidRDefault="00541C4B" w:rsidP="00541C4B">
      <w:pPr>
        <w:spacing w:after="0" w:line="240" w:lineRule="auto"/>
        <w:jc w:val="both"/>
        <w:rPr>
          <w:b/>
          <w:sz w:val="28"/>
          <w:szCs w:val="28"/>
        </w:rPr>
      </w:pPr>
      <w:r w:rsidRPr="00541C4B">
        <w:rPr>
          <w:b/>
          <w:sz w:val="28"/>
          <w:szCs w:val="28"/>
        </w:rPr>
        <w:t>Investigador</w:t>
      </w:r>
      <w:r w:rsidR="00F74CB8">
        <w:rPr>
          <w:b/>
          <w:sz w:val="28"/>
          <w:szCs w:val="28"/>
        </w:rPr>
        <w:t>es</w:t>
      </w:r>
      <w:r w:rsidRPr="00541C4B">
        <w:rPr>
          <w:b/>
          <w:sz w:val="28"/>
          <w:szCs w:val="28"/>
        </w:rPr>
        <w:t xml:space="preserve"> </w:t>
      </w:r>
      <w:r w:rsidR="008150A4">
        <w:rPr>
          <w:b/>
          <w:sz w:val="28"/>
          <w:szCs w:val="28"/>
        </w:rPr>
        <w:t>portugueses</w:t>
      </w:r>
      <w:r w:rsidRPr="00541C4B">
        <w:rPr>
          <w:b/>
          <w:sz w:val="28"/>
          <w:szCs w:val="28"/>
        </w:rPr>
        <w:t xml:space="preserve"> descobre</w:t>
      </w:r>
      <w:r w:rsidR="008150A4">
        <w:rPr>
          <w:b/>
          <w:sz w:val="28"/>
          <w:szCs w:val="28"/>
        </w:rPr>
        <w:t>m</w:t>
      </w:r>
      <w:r w:rsidRPr="00541C4B">
        <w:rPr>
          <w:b/>
          <w:sz w:val="28"/>
          <w:szCs w:val="28"/>
        </w:rPr>
        <w:t xml:space="preserve"> nova espécie de planta</w:t>
      </w:r>
      <w:r>
        <w:rPr>
          <w:b/>
          <w:sz w:val="28"/>
          <w:szCs w:val="28"/>
        </w:rPr>
        <w:t xml:space="preserve"> fóssil</w:t>
      </w:r>
    </w:p>
    <w:p w:rsidR="002C2BE2" w:rsidRPr="00541C4B" w:rsidRDefault="002C2BE2">
      <w:pPr>
        <w:rPr>
          <w:sz w:val="24"/>
          <w:szCs w:val="24"/>
        </w:rPr>
      </w:pPr>
      <w:bookmarkStart w:id="0" w:name="_GoBack"/>
      <w:bookmarkEnd w:id="0"/>
    </w:p>
    <w:p w:rsidR="00541C4B" w:rsidRPr="00541C4B" w:rsidRDefault="00541C4B">
      <w:pPr>
        <w:rPr>
          <w:sz w:val="24"/>
          <w:szCs w:val="24"/>
        </w:rPr>
      </w:pPr>
    </w:p>
    <w:p w:rsidR="00541C4B" w:rsidRPr="00541C4B" w:rsidRDefault="00541C4B" w:rsidP="00541C4B">
      <w:pPr>
        <w:spacing w:after="0" w:line="360" w:lineRule="auto"/>
        <w:jc w:val="both"/>
        <w:rPr>
          <w:b/>
          <w:sz w:val="24"/>
          <w:szCs w:val="24"/>
        </w:rPr>
      </w:pPr>
      <w:r w:rsidRPr="00541C4B">
        <w:rPr>
          <w:b/>
          <w:sz w:val="24"/>
          <w:szCs w:val="24"/>
        </w:rPr>
        <w:t xml:space="preserve">No âmbito do projeto </w:t>
      </w:r>
      <w:proofErr w:type="spellStart"/>
      <w:r w:rsidRPr="00541C4B">
        <w:rPr>
          <w:b/>
          <w:sz w:val="24"/>
          <w:szCs w:val="24"/>
        </w:rPr>
        <w:t>CretaCarbo</w:t>
      </w:r>
      <w:proofErr w:type="spellEnd"/>
      <w:r w:rsidRPr="00541C4B">
        <w:rPr>
          <w:b/>
          <w:sz w:val="24"/>
          <w:szCs w:val="24"/>
        </w:rPr>
        <w:t>, a equipa coordenada</w:t>
      </w:r>
      <w:r w:rsidRPr="00541C4B">
        <w:rPr>
          <w:b/>
          <w:color w:val="FF0000"/>
          <w:sz w:val="24"/>
          <w:szCs w:val="24"/>
        </w:rPr>
        <w:t xml:space="preserve"> </w:t>
      </w:r>
      <w:r w:rsidRPr="00541C4B">
        <w:rPr>
          <w:b/>
          <w:sz w:val="24"/>
          <w:szCs w:val="24"/>
        </w:rPr>
        <w:t xml:space="preserve">por Mário Mendes, investigador do Centro de Investigação Marinha e Ambiental da Universidade do Algarve, descobriu recentemente uma nova espécie de esporo atribuível a fetos da família </w:t>
      </w:r>
      <w:proofErr w:type="spellStart"/>
      <w:r w:rsidRPr="00541C4B">
        <w:rPr>
          <w:b/>
          <w:sz w:val="24"/>
          <w:szCs w:val="24"/>
        </w:rPr>
        <w:t>Anemiaceae</w:t>
      </w:r>
      <w:proofErr w:type="spellEnd"/>
      <w:r w:rsidRPr="00541C4B">
        <w:rPr>
          <w:b/>
          <w:sz w:val="24"/>
          <w:szCs w:val="24"/>
        </w:rPr>
        <w:t xml:space="preserve">. A nova espécie, designada com o nome científico </w:t>
      </w:r>
      <w:proofErr w:type="spellStart"/>
      <w:r w:rsidRPr="00541C4B">
        <w:rPr>
          <w:b/>
          <w:i/>
          <w:iCs/>
          <w:sz w:val="24"/>
          <w:szCs w:val="24"/>
        </w:rPr>
        <w:t>Costatoperforosporites</w:t>
      </w:r>
      <w:proofErr w:type="spellEnd"/>
      <w:r w:rsidRPr="00541C4B">
        <w:rPr>
          <w:b/>
          <w:i/>
          <w:iCs/>
          <w:sz w:val="24"/>
          <w:szCs w:val="24"/>
        </w:rPr>
        <w:t xml:space="preserve"> </w:t>
      </w:r>
      <w:proofErr w:type="spellStart"/>
      <w:r w:rsidRPr="00541C4B">
        <w:rPr>
          <w:b/>
          <w:i/>
          <w:iCs/>
          <w:sz w:val="24"/>
          <w:szCs w:val="24"/>
        </w:rPr>
        <w:t>friisiae</w:t>
      </w:r>
      <w:proofErr w:type="spellEnd"/>
      <w:r w:rsidRPr="00541C4B">
        <w:rPr>
          <w:b/>
          <w:iCs/>
          <w:sz w:val="24"/>
          <w:szCs w:val="24"/>
        </w:rPr>
        <w:t>,</w:t>
      </w:r>
      <w:r w:rsidRPr="00541C4B">
        <w:rPr>
          <w:b/>
          <w:sz w:val="24"/>
          <w:szCs w:val="24"/>
        </w:rPr>
        <w:t xml:space="preserve"> até hoje, apenas foi</w:t>
      </w:r>
      <w:r w:rsidR="003A4E4D">
        <w:rPr>
          <w:b/>
          <w:sz w:val="24"/>
          <w:szCs w:val="24"/>
        </w:rPr>
        <w:t xml:space="preserve"> identificada </w:t>
      </w:r>
      <w:r w:rsidRPr="00541C4B">
        <w:rPr>
          <w:b/>
          <w:sz w:val="24"/>
          <w:szCs w:val="24"/>
        </w:rPr>
        <w:t xml:space="preserve">nas </w:t>
      </w:r>
      <w:proofErr w:type="spellStart"/>
      <w:r w:rsidRPr="00541C4B">
        <w:rPr>
          <w:b/>
          <w:sz w:val="24"/>
          <w:szCs w:val="24"/>
        </w:rPr>
        <w:t>paleofloras</w:t>
      </w:r>
      <w:proofErr w:type="spellEnd"/>
      <w:r w:rsidRPr="00541C4B">
        <w:rPr>
          <w:b/>
          <w:sz w:val="24"/>
          <w:szCs w:val="24"/>
        </w:rPr>
        <w:t xml:space="preserve"> portuguesas.</w:t>
      </w:r>
    </w:p>
    <w:p w:rsidR="00541C4B" w:rsidRPr="00541C4B" w:rsidRDefault="00541C4B" w:rsidP="00541C4B">
      <w:pPr>
        <w:spacing w:after="0" w:line="360" w:lineRule="auto"/>
        <w:jc w:val="both"/>
        <w:rPr>
          <w:b/>
          <w:sz w:val="24"/>
          <w:szCs w:val="24"/>
        </w:rPr>
      </w:pPr>
    </w:p>
    <w:p w:rsidR="00541C4B" w:rsidRPr="00541C4B" w:rsidRDefault="00541C4B" w:rsidP="00541C4B">
      <w:pPr>
        <w:pStyle w:val="Jota"/>
        <w:spacing w:line="360" w:lineRule="auto"/>
        <w:jc w:val="both"/>
        <w:rPr>
          <w:szCs w:val="24"/>
          <w:lang w:val="pt-PT"/>
        </w:rPr>
      </w:pPr>
      <w:r w:rsidRPr="00541C4B">
        <w:rPr>
          <w:rStyle w:val="nfase"/>
          <w:szCs w:val="24"/>
          <w:shd w:val="clear" w:color="auto" w:fill="FFFFFF"/>
        </w:rPr>
        <w:t>A descrição desta nova espécie</w:t>
      </w:r>
      <w:r w:rsidRPr="00541C4B">
        <w:rPr>
          <w:rStyle w:val="nfase"/>
          <w:szCs w:val="24"/>
          <w:shd w:val="clear" w:color="auto" w:fill="FFFFFF"/>
          <w:lang w:val="pt-PT"/>
        </w:rPr>
        <w:t xml:space="preserve">, no âmbito de estudo que pretende compreender as condições </w:t>
      </w:r>
      <w:proofErr w:type="spellStart"/>
      <w:r w:rsidRPr="00541C4B">
        <w:rPr>
          <w:rStyle w:val="nfase"/>
          <w:szCs w:val="24"/>
          <w:shd w:val="clear" w:color="auto" w:fill="FFFFFF"/>
          <w:lang w:val="pt-PT"/>
        </w:rPr>
        <w:t>paleoambientais</w:t>
      </w:r>
      <w:proofErr w:type="spellEnd"/>
      <w:r w:rsidRPr="00541C4B">
        <w:rPr>
          <w:rStyle w:val="nfase"/>
          <w:szCs w:val="24"/>
          <w:shd w:val="clear" w:color="auto" w:fill="FFFFFF"/>
          <w:lang w:val="pt-PT"/>
        </w:rPr>
        <w:t xml:space="preserve"> que presidiram à radiação e desenvolvimento das angiospérmicas (plantas com flor), </w:t>
      </w:r>
      <w:r w:rsidRPr="00541C4B">
        <w:rPr>
          <w:rStyle w:val="nfase"/>
          <w:szCs w:val="24"/>
          <w:shd w:val="clear" w:color="auto" w:fill="FFFFFF"/>
        </w:rPr>
        <w:t xml:space="preserve"> constit</w:t>
      </w:r>
      <w:r w:rsidRPr="00541C4B">
        <w:rPr>
          <w:szCs w:val="24"/>
        </w:rPr>
        <w:t>ui</w:t>
      </w:r>
      <w:r w:rsidRPr="00541C4B">
        <w:rPr>
          <w:szCs w:val="24"/>
          <w:lang w:val="pt-PT"/>
        </w:rPr>
        <w:t>,</w:t>
      </w:r>
      <w:r w:rsidRPr="00541C4B">
        <w:rPr>
          <w:szCs w:val="24"/>
        </w:rPr>
        <w:t xml:space="preserve"> sem dúvida</w:t>
      </w:r>
      <w:r w:rsidRPr="00541C4B">
        <w:rPr>
          <w:szCs w:val="24"/>
          <w:lang w:val="pt-PT"/>
        </w:rPr>
        <w:t>,</w:t>
      </w:r>
      <w:r w:rsidRPr="00541C4B">
        <w:rPr>
          <w:szCs w:val="24"/>
        </w:rPr>
        <w:t xml:space="preserve"> um excelente contributo </w:t>
      </w:r>
      <w:r w:rsidRPr="00541C4B">
        <w:rPr>
          <w:rStyle w:val="nfase"/>
          <w:szCs w:val="24"/>
          <w:shd w:val="clear" w:color="auto" w:fill="FFFFFF"/>
        </w:rPr>
        <w:t xml:space="preserve">para a Ciência </w:t>
      </w:r>
      <w:r w:rsidRPr="00541C4B">
        <w:rPr>
          <w:rStyle w:val="nfase"/>
          <w:szCs w:val="24"/>
          <w:shd w:val="clear" w:color="auto" w:fill="FFFFFF"/>
          <w:lang w:val="pt-PT"/>
        </w:rPr>
        <w:t xml:space="preserve">e </w:t>
      </w:r>
      <w:r w:rsidRPr="00541C4B">
        <w:rPr>
          <w:szCs w:val="24"/>
        </w:rPr>
        <w:t xml:space="preserve">para o avanço da Paleobotânica no </w:t>
      </w:r>
      <w:r w:rsidRPr="00541C4B">
        <w:rPr>
          <w:szCs w:val="24"/>
          <w:lang w:val="pt-PT"/>
        </w:rPr>
        <w:t xml:space="preserve">nosso </w:t>
      </w:r>
      <w:r w:rsidRPr="00541C4B">
        <w:rPr>
          <w:szCs w:val="24"/>
        </w:rPr>
        <w:t xml:space="preserve">País, </w:t>
      </w:r>
      <w:r w:rsidRPr="00541C4B">
        <w:rPr>
          <w:szCs w:val="24"/>
          <w:lang w:val="pt-PT"/>
        </w:rPr>
        <w:t xml:space="preserve">já que esta </w:t>
      </w:r>
      <w:r w:rsidRPr="00541C4B">
        <w:rPr>
          <w:szCs w:val="24"/>
        </w:rPr>
        <w:t xml:space="preserve">área </w:t>
      </w:r>
      <w:r w:rsidRPr="00541C4B">
        <w:rPr>
          <w:szCs w:val="24"/>
          <w:lang w:val="pt-PT"/>
        </w:rPr>
        <w:t xml:space="preserve">se encontra ainda </w:t>
      </w:r>
      <w:r w:rsidRPr="00541C4B">
        <w:rPr>
          <w:szCs w:val="24"/>
        </w:rPr>
        <w:t>muito pouco explorada.</w:t>
      </w:r>
      <w:r w:rsidRPr="00541C4B">
        <w:rPr>
          <w:szCs w:val="24"/>
          <w:lang w:val="pt-PT"/>
        </w:rPr>
        <w:t xml:space="preserve"> </w:t>
      </w:r>
    </w:p>
    <w:p w:rsidR="00541C4B" w:rsidRPr="00541C4B" w:rsidRDefault="00541C4B" w:rsidP="00541C4B">
      <w:pPr>
        <w:pStyle w:val="Jota"/>
        <w:spacing w:line="360" w:lineRule="auto"/>
        <w:jc w:val="both"/>
        <w:rPr>
          <w:szCs w:val="24"/>
          <w:lang w:val="pt-PT"/>
        </w:rPr>
      </w:pPr>
      <w:r w:rsidRPr="00541C4B">
        <w:rPr>
          <w:szCs w:val="24"/>
          <w:lang w:val="pt-PT"/>
        </w:rPr>
        <w:t xml:space="preserve">Por um lado, este esporo vem acrescentar novo conhecimento à diversidade das </w:t>
      </w:r>
      <w:proofErr w:type="spellStart"/>
      <w:r w:rsidRPr="00541C4B">
        <w:rPr>
          <w:szCs w:val="24"/>
          <w:lang w:val="pt-PT"/>
        </w:rPr>
        <w:t>palinofloras</w:t>
      </w:r>
      <w:proofErr w:type="spellEnd"/>
      <w:r w:rsidRPr="00541C4B">
        <w:rPr>
          <w:szCs w:val="24"/>
          <w:lang w:val="pt-PT"/>
        </w:rPr>
        <w:t xml:space="preserve"> do Cretácico da Bacia Lusitaniana. Por outro, a associação de vegetais fósseis até agora estudada na jazida fossilífera de Catefica, no concelho de Torres Vedras, sugere que no Cretácico Inferior, o interior Sul da Bacia Lusitaniana encontrava-se coberto por vegetação relativamente aberta, que prosperou em condições quentes e sazonalmente secas.</w:t>
      </w:r>
    </w:p>
    <w:p w:rsidR="00541C4B" w:rsidRPr="00541C4B" w:rsidRDefault="00541C4B" w:rsidP="00541C4B">
      <w:pPr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541C4B">
        <w:rPr>
          <w:sz w:val="24"/>
          <w:szCs w:val="24"/>
        </w:rPr>
        <w:t>As angiospérmicas desenvolveram-se a partir do Cretácico Inferior, há cerca de 135 milhões de anos</w:t>
      </w:r>
      <w:r w:rsidRPr="00541C4B" w:rsidDel="00CF0209">
        <w:rPr>
          <w:sz w:val="24"/>
          <w:szCs w:val="24"/>
        </w:rPr>
        <w:t xml:space="preserve"> </w:t>
      </w:r>
      <w:r w:rsidRPr="00541C4B">
        <w:rPr>
          <w:sz w:val="24"/>
          <w:szCs w:val="24"/>
        </w:rPr>
        <w:t xml:space="preserve">e atualmente dominam a vegetação terrestre. Em Portugal, o Cretácico encontra-se bem representado e tem características que permitem acompanhar a evolução florística desde o Cretácico Inferior, com predomínio dos fetos, coníferas, ginkgos, </w:t>
      </w:r>
      <w:proofErr w:type="spellStart"/>
      <w:r w:rsidRPr="00541C4B">
        <w:rPr>
          <w:sz w:val="24"/>
          <w:szCs w:val="24"/>
        </w:rPr>
        <w:t>cycas</w:t>
      </w:r>
      <w:proofErr w:type="spellEnd"/>
      <w:r w:rsidRPr="00541C4B">
        <w:rPr>
          <w:sz w:val="24"/>
          <w:szCs w:val="24"/>
        </w:rPr>
        <w:t xml:space="preserve">, </w:t>
      </w:r>
      <w:proofErr w:type="spellStart"/>
      <w:r w:rsidRPr="00541C4B">
        <w:rPr>
          <w:sz w:val="24"/>
          <w:szCs w:val="24"/>
        </w:rPr>
        <w:t>Bennettitales</w:t>
      </w:r>
      <w:proofErr w:type="spellEnd"/>
      <w:r w:rsidRPr="00541C4B">
        <w:rPr>
          <w:sz w:val="24"/>
          <w:szCs w:val="24"/>
        </w:rPr>
        <w:t xml:space="preserve"> e outros grupos de plantas já extintos, até o Cretácico Superior onde as angiospérmicas colonizaram quase todos os ecossistemas terrestres. Contudo, apesar dos estudos desenvolvidos, muitos aspetos relacionados com a evolução angiospérmicas continuam ainda por esclarecer. </w:t>
      </w:r>
    </w:p>
    <w:p w:rsidR="00541C4B" w:rsidRPr="00541C4B" w:rsidRDefault="00541C4B" w:rsidP="00541C4B">
      <w:pPr>
        <w:autoSpaceDE w:val="0"/>
        <w:autoSpaceDN w:val="0"/>
        <w:spacing w:after="0" w:line="360" w:lineRule="auto"/>
        <w:jc w:val="both"/>
        <w:rPr>
          <w:sz w:val="24"/>
          <w:szCs w:val="24"/>
          <w:shd w:val="clear" w:color="auto" w:fill="FFFFFF"/>
        </w:rPr>
      </w:pPr>
      <w:r w:rsidRPr="00541C4B">
        <w:rPr>
          <w:sz w:val="24"/>
          <w:szCs w:val="24"/>
        </w:rPr>
        <w:lastRenderedPageBreak/>
        <w:t xml:space="preserve">As </w:t>
      </w:r>
      <w:r w:rsidRPr="00541C4B">
        <w:rPr>
          <w:sz w:val="24"/>
          <w:szCs w:val="24"/>
          <w:shd w:val="clear" w:color="auto" w:fill="FFFFFF"/>
        </w:rPr>
        <w:t xml:space="preserve">plantas são organismos extremamente sensíveis às alterações climáticas em escala continental, constituindo testemunho de modificações </w:t>
      </w:r>
      <w:proofErr w:type="spellStart"/>
      <w:r w:rsidRPr="00541C4B">
        <w:rPr>
          <w:sz w:val="24"/>
          <w:szCs w:val="24"/>
          <w:shd w:val="clear" w:color="auto" w:fill="FFFFFF"/>
        </w:rPr>
        <w:t>paleoambientais</w:t>
      </w:r>
      <w:proofErr w:type="spellEnd"/>
      <w:r w:rsidRPr="00541C4B">
        <w:rPr>
          <w:sz w:val="24"/>
          <w:szCs w:val="24"/>
          <w:shd w:val="clear" w:color="auto" w:fill="FFFFFF"/>
        </w:rPr>
        <w:t xml:space="preserve"> que afetaram o ambiente terrestre.  </w:t>
      </w:r>
    </w:p>
    <w:p w:rsidR="00541C4B" w:rsidRPr="00541C4B" w:rsidRDefault="00541C4B" w:rsidP="00541C4B">
      <w:pPr>
        <w:autoSpaceDE w:val="0"/>
        <w:autoSpaceDN w:val="0"/>
        <w:spacing w:after="0" w:line="360" w:lineRule="auto"/>
        <w:jc w:val="both"/>
        <w:rPr>
          <w:color w:val="002060"/>
          <w:sz w:val="24"/>
          <w:szCs w:val="24"/>
        </w:rPr>
      </w:pPr>
      <w:r w:rsidRPr="00541C4B">
        <w:rPr>
          <w:sz w:val="24"/>
          <w:szCs w:val="24"/>
        </w:rPr>
        <w:t xml:space="preserve">Segundo Mário Mendes, “o estudo das plantas fósseis tem grande interesse paleoecológico, pois permite tirar ilações acerca da paleoclimatologia local e regional dessa época, designadamente no que se refere a anomalias de temperatura e de precipitação”. Através do projeto </w:t>
      </w:r>
      <w:proofErr w:type="spellStart"/>
      <w:r w:rsidRPr="00541C4B">
        <w:rPr>
          <w:sz w:val="24"/>
          <w:szCs w:val="24"/>
        </w:rPr>
        <w:t>CretaCarbo</w:t>
      </w:r>
      <w:proofErr w:type="spellEnd"/>
      <w:r w:rsidRPr="00541C4B">
        <w:rPr>
          <w:sz w:val="24"/>
          <w:szCs w:val="24"/>
        </w:rPr>
        <w:t xml:space="preserve"> deu-se início à realização de estudos com o objetivo de perceber as condições </w:t>
      </w:r>
      <w:proofErr w:type="spellStart"/>
      <w:r w:rsidRPr="00541C4B">
        <w:rPr>
          <w:sz w:val="24"/>
          <w:szCs w:val="24"/>
        </w:rPr>
        <w:t>paleoambientais</w:t>
      </w:r>
      <w:proofErr w:type="spellEnd"/>
      <w:r w:rsidRPr="00541C4B">
        <w:rPr>
          <w:sz w:val="24"/>
          <w:szCs w:val="24"/>
        </w:rPr>
        <w:t xml:space="preserve"> que presidiram à radiação e diversificação ecológica das angiospérmicas no Cretácico Inferior da Bacia Lusitaniana</w:t>
      </w:r>
      <w:r w:rsidRPr="00541C4B">
        <w:rPr>
          <w:sz w:val="24"/>
          <w:szCs w:val="24"/>
          <w:shd w:val="clear" w:color="auto" w:fill="FFFFFF"/>
        </w:rPr>
        <w:t>, bem como a evolução dos ecossistemas terrestres através do tempo.</w:t>
      </w:r>
    </w:p>
    <w:p w:rsidR="00541C4B" w:rsidRPr="00541C4B" w:rsidRDefault="00541C4B" w:rsidP="00541C4B">
      <w:pPr>
        <w:spacing w:after="0" w:line="360" w:lineRule="auto"/>
        <w:jc w:val="both"/>
        <w:rPr>
          <w:sz w:val="24"/>
          <w:szCs w:val="24"/>
        </w:rPr>
      </w:pPr>
      <w:r w:rsidRPr="00541C4B">
        <w:rPr>
          <w:sz w:val="24"/>
          <w:szCs w:val="24"/>
          <w:shd w:val="clear" w:color="auto" w:fill="FFFFFF"/>
        </w:rPr>
        <w:t xml:space="preserve">Desta forma, as plantas fósseis são um marco central para a compreensão da organização e funcionamento das </w:t>
      </w:r>
      <w:proofErr w:type="spellStart"/>
      <w:r w:rsidRPr="00541C4B">
        <w:rPr>
          <w:sz w:val="24"/>
          <w:szCs w:val="24"/>
          <w:shd w:val="clear" w:color="auto" w:fill="FFFFFF"/>
        </w:rPr>
        <w:t>paleocomunidades</w:t>
      </w:r>
      <w:proofErr w:type="spellEnd"/>
      <w:r w:rsidRPr="00541C4B">
        <w:rPr>
          <w:sz w:val="24"/>
          <w:szCs w:val="24"/>
          <w:shd w:val="clear" w:color="auto" w:fill="FFFFFF"/>
        </w:rPr>
        <w:t xml:space="preserve">. Através do estudo da flora fóssil pode compreender-se melhor a flora moderna. </w:t>
      </w:r>
      <w:r w:rsidRPr="00541C4B">
        <w:rPr>
          <w:sz w:val="24"/>
          <w:szCs w:val="24"/>
        </w:rPr>
        <w:t xml:space="preserve">A paleobotânica e a palinologia podem contribuir para o desenvolvimento de competências fundamentais para a compreensão da dinâmica dos ambientes passados e atuais no que diz respeito às transformações </w:t>
      </w:r>
      <w:proofErr w:type="spellStart"/>
      <w:r w:rsidRPr="00541C4B">
        <w:rPr>
          <w:sz w:val="24"/>
          <w:szCs w:val="24"/>
        </w:rPr>
        <w:t>paleoambientais</w:t>
      </w:r>
      <w:proofErr w:type="spellEnd"/>
      <w:r w:rsidRPr="00541C4B">
        <w:rPr>
          <w:sz w:val="24"/>
          <w:szCs w:val="24"/>
        </w:rPr>
        <w:t xml:space="preserve"> decorrentes da sua génese. Assim, o estudo das plantas fósseis é uma mais-valia na medida em que contribui para a formação de cidadãos informados e conhecedores de fenómenos naturais, sendo capazes de refletir criticamente sobre a evolução da vegetação do nosso planeta. De referir ainda que a Paleobotânica é economicamente importante no estudo de restos de vegetais fósseis indispensáveis, por exemplo, para pesquisa de matérias-primas energéticas, tais como, o petróleo ou o carvão vegetal.</w:t>
      </w:r>
    </w:p>
    <w:p w:rsidR="00541C4B" w:rsidRPr="00541C4B" w:rsidRDefault="00541C4B" w:rsidP="00541C4B">
      <w:pPr>
        <w:spacing w:after="0" w:line="360" w:lineRule="auto"/>
        <w:jc w:val="both"/>
        <w:rPr>
          <w:sz w:val="24"/>
          <w:szCs w:val="24"/>
        </w:rPr>
      </w:pPr>
      <w:r w:rsidRPr="00541C4B">
        <w:rPr>
          <w:sz w:val="24"/>
          <w:szCs w:val="24"/>
        </w:rPr>
        <w:t xml:space="preserve">Os resultados desta investigação, que tem suscitado grande interesse por parte de inúmeros investigadores de outros países, como França, Japão, Suécia, Alemanha e Espanha, foram recentemente publicados numa revista científica de circulação internacional indexada no ISI Web </w:t>
      </w:r>
      <w:proofErr w:type="spellStart"/>
      <w:r w:rsidRPr="00541C4B">
        <w:rPr>
          <w:sz w:val="24"/>
          <w:szCs w:val="24"/>
        </w:rPr>
        <w:t>of</w:t>
      </w:r>
      <w:proofErr w:type="spellEnd"/>
      <w:r w:rsidRPr="00541C4B">
        <w:rPr>
          <w:sz w:val="24"/>
          <w:szCs w:val="24"/>
        </w:rPr>
        <w:t xml:space="preserve"> </w:t>
      </w:r>
      <w:proofErr w:type="spellStart"/>
      <w:r w:rsidRPr="00541C4B">
        <w:rPr>
          <w:sz w:val="24"/>
          <w:szCs w:val="24"/>
        </w:rPr>
        <w:t>Science</w:t>
      </w:r>
      <w:proofErr w:type="spellEnd"/>
      <w:r w:rsidRPr="00541C4B">
        <w:rPr>
          <w:sz w:val="24"/>
          <w:szCs w:val="24"/>
        </w:rPr>
        <w:t xml:space="preserve">. </w:t>
      </w:r>
    </w:p>
    <w:p w:rsidR="00541C4B" w:rsidRPr="00541C4B" w:rsidRDefault="00541C4B" w:rsidP="00541C4B">
      <w:pPr>
        <w:spacing w:after="0" w:line="360" w:lineRule="auto"/>
        <w:jc w:val="both"/>
        <w:rPr>
          <w:sz w:val="24"/>
          <w:szCs w:val="24"/>
        </w:rPr>
      </w:pPr>
      <w:r w:rsidRPr="00541C4B">
        <w:rPr>
          <w:sz w:val="24"/>
          <w:szCs w:val="24"/>
        </w:rPr>
        <w:t xml:space="preserve">O Projeto </w:t>
      </w:r>
      <w:proofErr w:type="spellStart"/>
      <w:r w:rsidRPr="00541C4B">
        <w:rPr>
          <w:sz w:val="24"/>
          <w:szCs w:val="24"/>
        </w:rPr>
        <w:t>CretaCarbo</w:t>
      </w:r>
      <w:proofErr w:type="spellEnd"/>
      <w:r w:rsidRPr="00541C4B">
        <w:rPr>
          <w:sz w:val="24"/>
          <w:szCs w:val="24"/>
        </w:rPr>
        <w:t xml:space="preserve"> (PTDC/CTE-GIX, 113983/2009), financiado pela Fundação para a Ciência e a Tecnologia (FCT), teve ainda como parceiros a Universidade de Coimbra e a Universidade Nova de Lisboa.</w:t>
      </w:r>
    </w:p>
    <w:p w:rsidR="00541C4B" w:rsidRPr="00541C4B" w:rsidRDefault="00541C4B" w:rsidP="00541C4B">
      <w:pPr>
        <w:spacing w:after="0" w:line="360" w:lineRule="auto"/>
        <w:jc w:val="both"/>
        <w:rPr>
          <w:sz w:val="24"/>
          <w:szCs w:val="24"/>
        </w:rPr>
      </w:pPr>
    </w:p>
    <w:p w:rsidR="00541C4B" w:rsidRPr="00541C4B" w:rsidRDefault="00541C4B" w:rsidP="00541C4B">
      <w:pPr>
        <w:spacing w:after="0" w:line="360" w:lineRule="auto"/>
        <w:jc w:val="both"/>
        <w:rPr>
          <w:sz w:val="24"/>
          <w:szCs w:val="24"/>
        </w:rPr>
      </w:pPr>
      <w:r w:rsidRPr="00541C4B">
        <w:rPr>
          <w:sz w:val="24"/>
          <w:szCs w:val="24"/>
        </w:rPr>
        <w:t>Consultar artigos em:</w:t>
      </w:r>
    </w:p>
    <w:p w:rsidR="00541C4B" w:rsidRPr="00541C4B" w:rsidRDefault="00541C4B" w:rsidP="00541C4B">
      <w:pPr>
        <w:spacing w:after="0" w:line="360" w:lineRule="auto"/>
        <w:jc w:val="both"/>
        <w:rPr>
          <w:sz w:val="24"/>
          <w:szCs w:val="24"/>
        </w:rPr>
      </w:pPr>
      <w:hyperlink r:id="rId4" w:history="1">
        <w:r w:rsidRPr="00541C4B">
          <w:rPr>
            <w:rStyle w:val="Hiperligao"/>
            <w:sz w:val="24"/>
            <w:szCs w:val="24"/>
          </w:rPr>
          <w:t>http://www.tandfonline.com/doi/full/10.1080/00173134.2016.1269189</w:t>
        </w:r>
      </w:hyperlink>
    </w:p>
    <w:p w:rsidR="00541C4B" w:rsidRPr="00541C4B" w:rsidRDefault="00541C4B" w:rsidP="00541C4B">
      <w:pPr>
        <w:rPr>
          <w:rStyle w:val="Hiperligao"/>
          <w:sz w:val="24"/>
          <w:szCs w:val="24"/>
        </w:rPr>
      </w:pPr>
      <w:hyperlink r:id="rId5" w:history="1">
        <w:r w:rsidRPr="00541C4B">
          <w:rPr>
            <w:rStyle w:val="Hiperligao"/>
            <w:sz w:val="24"/>
            <w:szCs w:val="24"/>
          </w:rPr>
          <w:t>http://www.tandfonline.com/doi/full/10.1080/00173134.2017.1310292</w:t>
        </w:r>
      </w:hyperlink>
    </w:p>
    <w:p w:rsidR="00541C4B" w:rsidRPr="00541C4B" w:rsidRDefault="00541C4B" w:rsidP="00541C4B">
      <w:pPr>
        <w:rPr>
          <w:rStyle w:val="Hiperligao"/>
          <w:sz w:val="24"/>
          <w:szCs w:val="24"/>
        </w:rPr>
      </w:pPr>
    </w:p>
    <w:p w:rsidR="00541C4B" w:rsidRPr="00541C4B" w:rsidRDefault="00541C4B" w:rsidP="00541C4B">
      <w:pPr>
        <w:rPr>
          <w:rStyle w:val="Hiperligao"/>
          <w:color w:val="auto"/>
          <w:sz w:val="24"/>
          <w:szCs w:val="24"/>
          <w:u w:val="none"/>
        </w:rPr>
      </w:pPr>
      <w:r w:rsidRPr="00541C4B">
        <w:rPr>
          <w:rStyle w:val="Hiperligao"/>
          <w:color w:val="auto"/>
          <w:sz w:val="24"/>
          <w:szCs w:val="24"/>
          <w:u w:val="none"/>
        </w:rPr>
        <w:t>Gabinete de Comunicação da Universidade do Algarve</w:t>
      </w:r>
    </w:p>
    <w:p w:rsidR="00541C4B" w:rsidRPr="00541C4B" w:rsidRDefault="00541C4B" w:rsidP="00541C4B">
      <w:pPr>
        <w:rPr>
          <w:sz w:val="24"/>
          <w:szCs w:val="24"/>
        </w:rPr>
      </w:pPr>
      <w:r w:rsidRPr="00541C4B">
        <w:rPr>
          <w:rStyle w:val="Hiperligao"/>
          <w:color w:val="auto"/>
          <w:sz w:val="24"/>
          <w:szCs w:val="24"/>
          <w:u w:val="none"/>
        </w:rPr>
        <w:t>Ciência na Imprensa Regional – Ciência Viva</w:t>
      </w:r>
    </w:p>
    <w:sectPr w:rsidR="00541C4B" w:rsidRPr="00541C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AB"/>
    <w:rsid w:val="002C2BE2"/>
    <w:rsid w:val="003A4E4D"/>
    <w:rsid w:val="00541C4B"/>
    <w:rsid w:val="005963AB"/>
    <w:rsid w:val="008150A4"/>
    <w:rsid w:val="00F7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EEDA"/>
  <w15:chartTrackingRefBased/>
  <w15:docId w15:val="{31021633-E608-48CD-BB2C-44765833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41C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rsid w:val="00541C4B"/>
    <w:rPr>
      <w:rFonts w:cs="Times New Roman"/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541C4B"/>
    <w:rPr>
      <w:i/>
      <w:iCs/>
    </w:rPr>
  </w:style>
  <w:style w:type="paragraph" w:customStyle="1" w:styleId="Jota">
    <w:name w:val="Jota"/>
    <w:basedOn w:val="Normal"/>
    <w:link w:val="JotaChar"/>
    <w:qFormat/>
    <w:rsid w:val="00541C4B"/>
    <w:pPr>
      <w:spacing w:after="0"/>
    </w:pPr>
    <w:rPr>
      <w:sz w:val="24"/>
      <w:szCs w:val="20"/>
      <w:lang w:val="x-none" w:eastAsia="x-none"/>
    </w:rPr>
  </w:style>
  <w:style w:type="character" w:customStyle="1" w:styleId="JotaChar">
    <w:name w:val="Jota Char"/>
    <w:link w:val="Jota"/>
    <w:rsid w:val="00541C4B"/>
    <w:rPr>
      <w:rFonts w:ascii="Calibri" w:eastAsia="Calibri" w:hAnsi="Calibri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ndfonline.com/doi/full/10.1080/00173134.2017.1310292" TargetMode="External"/><Relationship Id="rId4" Type="http://schemas.openxmlformats.org/officeDocument/2006/relationships/hyperlink" Target="http://www.tandfonline.com/doi/full/10.1080/00173134.2016.126918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696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2017-06-05T12:02:00Z</dcterms:created>
  <dcterms:modified xsi:type="dcterms:W3CDTF">2017-06-05T12:18:00Z</dcterms:modified>
</cp:coreProperties>
</file>