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872" w:rsidRPr="00757872" w:rsidRDefault="00757872" w:rsidP="00757872">
      <w:pPr>
        <w:spacing w:line="360" w:lineRule="auto"/>
        <w:rPr>
          <w:rFonts w:asciiTheme="minorHAnsi" w:hAnsiTheme="minorHAnsi"/>
          <w:b/>
          <w:lang w:val="pt-PT"/>
        </w:rPr>
      </w:pPr>
      <w:r w:rsidRPr="00757872">
        <w:rPr>
          <w:rFonts w:asciiTheme="minorHAnsi" w:hAnsiTheme="minorHAnsi"/>
          <w:b/>
          <w:lang w:val="pt-PT"/>
        </w:rPr>
        <w:t>Sexo feminino, diabetes e Doença de Alzheimer</w:t>
      </w:r>
    </w:p>
    <w:p w:rsidR="00386B99" w:rsidRPr="00757872" w:rsidRDefault="00757872">
      <w:pPr>
        <w:rPr>
          <w:rFonts w:asciiTheme="minorHAnsi" w:hAnsiTheme="minorHAnsi"/>
          <w:lang w:val="pt-PT"/>
        </w:rPr>
      </w:pPr>
    </w:p>
    <w:p w:rsidR="00757872" w:rsidRPr="00757872" w:rsidRDefault="00757872" w:rsidP="00757872">
      <w:pPr>
        <w:spacing w:line="360" w:lineRule="auto"/>
        <w:jc w:val="both"/>
        <w:rPr>
          <w:rFonts w:asciiTheme="minorHAnsi" w:hAnsiTheme="minorHAnsi"/>
          <w:b/>
          <w:lang w:val="pt-PT"/>
        </w:rPr>
      </w:pPr>
      <w:r w:rsidRPr="00757872">
        <w:rPr>
          <w:rFonts w:asciiTheme="minorHAnsi" w:hAnsiTheme="minorHAnsi"/>
          <w:b/>
          <w:lang w:val="pt-PT"/>
        </w:rPr>
        <w:t>Mecanismo explica como o sexo feminino e a diabetes influenciam o aparecimento da Doença de Alzheimer</w:t>
      </w:r>
      <w:r>
        <w:rPr>
          <w:rFonts w:asciiTheme="minorHAnsi" w:hAnsiTheme="minorHAnsi"/>
          <w:b/>
          <w:lang w:val="pt-PT"/>
        </w:rPr>
        <w:t xml:space="preserve"> </w:t>
      </w:r>
      <w:r w:rsidRPr="00757872">
        <w:rPr>
          <w:rFonts w:asciiTheme="minorHAnsi" w:hAnsiTheme="minorHAnsi"/>
          <w:b/>
          <w:lang w:val="pt-PT"/>
        </w:rPr>
        <w:t>em ratinhos de meia-idade</w:t>
      </w:r>
      <w:r>
        <w:rPr>
          <w:rFonts w:asciiTheme="minorHAnsi" w:hAnsiTheme="minorHAnsi"/>
          <w:b/>
          <w:lang w:val="pt-PT"/>
        </w:rPr>
        <w:t>.</w:t>
      </w:r>
    </w:p>
    <w:p w:rsidR="00757872" w:rsidRPr="00757872" w:rsidRDefault="00757872">
      <w:pPr>
        <w:rPr>
          <w:rFonts w:asciiTheme="minorHAnsi" w:hAnsiTheme="minorHAnsi"/>
          <w:lang w:val="pt-PT"/>
        </w:rPr>
      </w:pPr>
    </w:p>
    <w:p w:rsidR="00757872" w:rsidRPr="00757872" w:rsidRDefault="00757872" w:rsidP="00757872">
      <w:pPr>
        <w:spacing w:line="360" w:lineRule="auto"/>
        <w:jc w:val="both"/>
        <w:rPr>
          <w:rFonts w:asciiTheme="minorHAnsi" w:hAnsiTheme="minorHAnsi"/>
          <w:lang w:val="pt-PT"/>
        </w:rPr>
      </w:pPr>
      <w:r w:rsidRPr="00757872">
        <w:rPr>
          <w:rFonts w:asciiTheme="minorHAnsi" w:hAnsiTheme="minorHAnsi"/>
          <w:lang w:val="pt-PT"/>
        </w:rPr>
        <w:t>Uma equipa de investigadores do Centro de Neurociências e Biologia Celular (CNC) da Universidade de Coimbra (UC) descobriu como a produção e transporte de uma hormona sexual explica como o sexo feminino e diabetes tipo 2 contribuem para a Doença de Alzheimer (DA) em ratinhos de meia-idade.</w:t>
      </w:r>
      <w:bookmarkStart w:id="0" w:name="_GoBack"/>
      <w:bookmarkEnd w:id="0"/>
    </w:p>
    <w:p w:rsidR="00757872" w:rsidRPr="00757872" w:rsidRDefault="00757872" w:rsidP="00757872">
      <w:pPr>
        <w:spacing w:line="360" w:lineRule="auto"/>
        <w:jc w:val="both"/>
        <w:rPr>
          <w:rFonts w:asciiTheme="minorHAnsi" w:hAnsiTheme="minorHAnsi"/>
          <w:lang w:val="pt-PT"/>
        </w:rPr>
      </w:pPr>
      <w:r w:rsidRPr="00757872">
        <w:rPr>
          <w:rFonts w:asciiTheme="minorHAnsi" w:hAnsiTheme="minorHAnsi"/>
          <w:lang w:val="pt-PT"/>
        </w:rPr>
        <w:t xml:space="preserve">As fêmeas de meia-idade apresentam uma redução de uma hormona sexual (o estrogénio) no cérebro que, com o envelhecimento, contribui para a </w:t>
      </w:r>
      <w:proofErr w:type="spellStart"/>
      <w:r w:rsidRPr="00757872">
        <w:rPr>
          <w:rFonts w:asciiTheme="minorHAnsi" w:hAnsiTheme="minorHAnsi"/>
          <w:lang w:val="pt-PT"/>
        </w:rPr>
        <w:t>neurodegeneração</w:t>
      </w:r>
      <w:proofErr w:type="spellEnd"/>
      <w:r w:rsidRPr="00757872">
        <w:rPr>
          <w:rFonts w:asciiTheme="minorHAnsi" w:hAnsiTheme="minorHAnsi"/>
          <w:lang w:val="pt-PT"/>
        </w:rPr>
        <w:t xml:space="preserve">, disfunção cognitiva e sináptica, morte neuronal e </w:t>
      </w:r>
      <w:proofErr w:type="gramStart"/>
      <w:r w:rsidRPr="00757872">
        <w:rPr>
          <w:rFonts w:asciiTheme="minorHAnsi" w:hAnsiTheme="minorHAnsi"/>
          <w:lang w:val="pt-PT"/>
        </w:rPr>
        <w:t>DA</w:t>
      </w:r>
      <w:proofErr w:type="gramEnd"/>
      <w:r w:rsidRPr="00757872">
        <w:rPr>
          <w:rFonts w:asciiTheme="minorHAnsi" w:hAnsiTheme="minorHAnsi"/>
          <w:lang w:val="pt-PT"/>
        </w:rPr>
        <w:t>. A redução do estrogénio encontra-se associada à disfunção ovárica que se inicia com o período que antecede a menopausa (</w:t>
      </w:r>
      <w:proofErr w:type="spellStart"/>
      <w:r w:rsidRPr="00757872">
        <w:rPr>
          <w:rFonts w:asciiTheme="minorHAnsi" w:hAnsiTheme="minorHAnsi"/>
          <w:lang w:val="pt-PT"/>
        </w:rPr>
        <w:t>perimenopausa</w:t>
      </w:r>
      <w:proofErr w:type="spellEnd"/>
      <w:r w:rsidRPr="00757872">
        <w:rPr>
          <w:rFonts w:asciiTheme="minorHAnsi" w:hAnsiTheme="minorHAnsi"/>
          <w:lang w:val="pt-PT"/>
        </w:rPr>
        <w:t>), a qual pode ser acelerada pelo impacto da diabetes.</w:t>
      </w:r>
    </w:p>
    <w:p w:rsidR="00757872" w:rsidRPr="00757872" w:rsidRDefault="00757872" w:rsidP="00757872">
      <w:pPr>
        <w:spacing w:line="360" w:lineRule="auto"/>
        <w:jc w:val="both"/>
        <w:rPr>
          <w:rFonts w:asciiTheme="minorHAnsi" w:hAnsiTheme="minorHAnsi"/>
          <w:lang w:val="pt-PT"/>
        </w:rPr>
      </w:pPr>
      <w:r w:rsidRPr="00757872">
        <w:rPr>
          <w:rFonts w:asciiTheme="minorHAnsi" w:hAnsiTheme="minorHAnsi"/>
          <w:lang w:val="pt-PT"/>
        </w:rPr>
        <w:t xml:space="preserve">A investigação, publicada na revista científica </w:t>
      </w:r>
      <w:r w:rsidRPr="00757872">
        <w:rPr>
          <w:rFonts w:asciiTheme="minorHAnsi" w:hAnsiTheme="minorHAnsi"/>
          <w:i/>
          <w:lang w:val="pt-PT"/>
        </w:rPr>
        <w:t xml:space="preserve">Molecular </w:t>
      </w:r>
      <w:proofErr w:type="spellStart"/>
      <w:r w:rsidRPr="00757872">
        <w:rPr>
          <w:rFonts w:asciiTheme="minorHAnsi" w:hAnsiTheme="minorHAnsi"/>
          <w:i/>
          <w:lang w:val="pt-PT"/>
        </w:rPr>
        <w:t>Neurobiology</w:t>
      </w:r>
      <w:proofErr w:type="spellEnd"/>
      <w:r w:rsidRPr="00757872">
        <w:rPr>
          <w:rFonts w:asciiTheme="minorHAnsi" w:hAnsiTheme="minorHAnsi"/>
          <w:lang w:val="pt-PT"/>
        </w:rPr>
        <w:t xml:space="preserve">, sugere que a redução do estrogénio pode ser explicada pela incapacidade de ser transportado da circulação sanguínea para o cérebro, podendo ocorrer o mesmo com o transporte do colesterol, envolvido na produção do estrogénio. </w:t>
      </w:r>
    </w:p>
    <w:p w:rsidR="00757872" w:rsidRPr="00757872" w:rsidRDefault="00757872" w:rsidP="00757872">
      <w:pPr>
        <w:spacing w:line="360" w:lineRule="auto"/>
        <w:jc w:val="both"/>
        <w:rPr>
          <w:rFonts w:asciiTheme="minorHAnsi" w:hAnsiTheme="minorHAnsi"/>
          <w:lang w:val="pt-PT"/>
        </w:rPr>
      </w:pPr>
      <w:r w:rsidRPr="00757872">
        <w:rPr>
          <w:rFonts w:asciiTheme="minorHAnsi" w:hAnsiTheme="minorHAnsi"/>
          <w:lang w:val="pt-PT"/>
        </w:rPr>
        <w:t>A incapacidade de transporte ocorre apesar de as fêmeas de meia-idade diabéticas tipo 2 terem níveis de colesterol no sangue mais elevados que os machos com a mesma idade.</w:t>
      </w:r>
    </w:p>
    <w:p w:rsidR="00757872" w:rsidRPr="00757872" w:rsidRDefault="00757872" w:rsidP="00757872">
      <w:pPr>
        <w:spacing w:line="360" w:lineRule="auto"/>
        <w:jc w:val="both"/>
        <w:rPr>
          <w:rFonts w:asciiTheme="minorHAnsi" w:hAnsiTheme="minorHAnsi"/>
          <w:lang w:val="pt-PT"/>
        </w:rPr>
      </w:pPr>
      <w:r w:rsidRPr="00757872">
        <w:rPr>
          <w:rFonts w:asciiTheme="minorHAnsi" w:hAnsiTheme="minorHAnsi"/>
          <w:lang w:val="pt-PT"/>
        </w:rPr>
        <w:t>Ana Duarte, uma das autoras do estudo, explica que «o sexo feminino tem sido considerado como fator de risco para DA, particularmente após a menopausa. No entanto, pouco se sabe acerca dos eventos que precedem esta fase da vida. Os nossos resultados sugerem que, pelo menos durante a meia-idade, o facto de se ser do sexo feminino ou masculino afeta de forma diferente a comunicação entre células do cérebro, através das diferentes hormonas sexuais, podendo também elas ser parcialmente afetadas pela diabetes tipo 2».</w:t>
      </w:r>
    </w:p>
    <w:p w:rsidR="00757872" w:rsidRPr="00757872" w:rsidRDefault="00757872" w:rsidP="00757872">
      <w:pPr>
        <w:spacing w:line="360" w:lineRule="auto"/>
        <w:jc w:val="both"/>
        <w:rPr>
          <w:rFonts w:asciiTheme="minorHAnsi" w:hAnsiTheme="minorHAnsi"/>
          <w:lang w:val="pt-PT"/>
        </w:rPr>
      </w:pPr>
      <w:r w:rsidRPr="00757872">
        <w:rPr>
          <w:rFonts w:asciiTheme="minorHAnsi" w:hAnsiTheme="minorHAnsi"/>
          <w:lang w:val="pt-PT"/>
        </w:rPr>
        <w:t xml:space="preserve">Apesar de as fêmeas de meia-idade apresentarem níveis de estrogénio no cérebro semelhantes ou menores que os dos machos, elas parecem ter desenvolvido mecanismos de adaptação de modo a manterem funcional a maquinaria que interage com esta hormona, combatendo a acumulação cerebral de elementos associados à doença de Alzheimer. Alguns elementos protetores, como a insulina, podem explicar como as fêmeas apresentam menos marcadores patológicos da </w:t>
      </w:r>
      <w:proofErr w:type="spellStart"/>
      <w:r w:rsidRPr="00757872">
        <w:rPr>
          <w:rFonts w:asciiTheme="minorHAnsi" w:hAnsiTheme="minorHAnsi"/>
          <w:lang w:val="pt-PT"/>
        </w:rPr>
        <w:t>DA</w:t>
      </w:r>
      <w:proofErr w:type="spellEnd"/>
      <w:r w:rsidRPr="00757872">
        <w:rPr>
          <w:rFonts w:asciiTheme="minorHAnsi" w:hAnsiTheme="minorHAnsi"/>
          <w:lang w:val="pt-PT"/>
        </w:rPr>
        <w:t xml:space="preserve"> que os machos.</w:t>
      </w:r>
    </w:p>
    <w:p w:rsidR="00757872" w:rsidRPr="00757872" w:rsidRDefault="00757872" w:rsidP="00757872">
      <w:pPr>
        <w:spacing w:line="360" w:lineRule="auto"/>
        <w:jc w:val="both"/>
        <w:rPr>
          <w:rFonts w:asciiTheme="minorHAnsi" w:hAnsiTheme="minorHAnsi"/>
          <w:lang w:val="pt-PT"/>
        </w:rPr>
      </w:pPr>
      <w:r w:rsidRPr="00757872">
        <w:rPr>
          <w:rFonts w:asciiTheme="minorHAnsi" w:hAnsiTheme="minorHAnsi"/>
          <w:lang w:val="pt-PT"/>
        </w:rPr>
        <w:lastRenderedPageBreak/>
        <w:t xml:space="preserve">A investigadora salienta ainda que «ao demonstrar que diferentes perfis e ações dos diferentes sexos poderão ter um papel crucial no cérebro na presença da diabetes tipo 2, o estudo reforça a necessidade de estabelecer abordagens preventivas e/ou terapêuticas dirigidas a diferentes fases da vida (como a meia-idade) para potenciar os tratamentos na diabetes tipo 2 e na </w:t>
      </w:r>
      <w:proofErr w:type="gramStart"/>
      <w:r w:rsidRPr="00757872">
        <w:rPr>
          <w:rFonts w:asciiTheme="minorHAnsi" w:hAnsiTheme="minorHAnsi"/>
          <w:lang w:val="pt-PT"/>
        </w:rPr>
        <w:t>DA</w:t>
      </w:r>
      <w:proofErr w:type="gramEnd"/>
      <w:r w:rsidRPr="00757872">
        <w:rPr>
          <w:rFonts w:asciiTheme="minorHAnsi" w:hAnsiTheme="minorHAnsi"/>
          <w:lang w:val="pt-PT"/>
        </w:rPr>
        <w:t>».</w:t>
      </w:r>
    </w:p>
    <w:p w:rsidR="00757872" w:rsidRPr="00757872" w:rsidRDefault="00757872" w:rsidP="00757872">
      <w:pPr>
        <w:spacing w:line="360" w:lineRule="auto"/>
        <w:jc w:val="both"/>
        <w:rPr>
          <w:rFonts w:asciiTheme="minorHAnsi" w:hAnsiTheme="minorHAnsi"/>
          <w:lang w:val="pt-PT"/>
        </w:rPr>
      </w:pPr>
      <w:r w:rsidRPr="00757872">
        <w:rPr>
          <w:rFonts w:asciiTheme="minorHAnsi" w:hAnsiTheme="minorHAnsi"/>
          <w:lang w:val="pt-PT"/>
        </w:rPr>
        <w:t>O estudo, que obedeceu a um longo e rigoroso processo de recolha, armazenamento e processamento de amostras, de acordo com a legislação portuguesa e europeia em vigor, contou com a colaboração do Departamento de Ciências da Vida da Faculdade de Ciências e Tecnologia e da Faculdade de Medicina da UC.</w:t>
      </w:r>
    </w:p>
    <w:p w:rsidR="00757872" w:rsidRPr="00757872" w:rsidRDefault="00757872" w:rsidP="00757872">
      <w:pPr>
        <w:spacing w:line="360" w:lineRule="auto"/>
        <w:jc w:val="both"/>
        <w:rPr>
          <w:rFonts w:asciiTheme="minorHAnsi" w:hAnsiTheme="minorHAnsi"/>
          <w:lang w:val="pt-PT"/>
        </w:rPr>
      </w:pPr>
      <w:r w:rsidRPr="00757872">
        <w:rPr>
          <w:rFonts w:asciiTheme="minorHAnsi" w:hAnsiTheme="minorHAnsi"/>
          <w:lang w:val="pt-PT"/>
        </w:rPr>
        <w:t>A investigação foi financiada por Fundos Europeus do FEDER através do Programa Operacional Fatores de Competitividade – COMPETE 2020, de verbas portuguesas através da Fundação para a Ciência e a Tecnologia e do Programa de Estímulo à Investigação da Faculdade de Medicina da UC, bem como do Fundo Social Europeu através de Bolsas.</w:t>
      </w:r>
    </w:p>
    <w:p w:rsidR="00757872" w:rsidRPr="00757872" w:rsidRDefault="00757872" w:rsidP="00757872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757872" w:rsidRPr="00757872" w:rsidRDefault="00757872" w:rsidP="00757872">
      <w:pPr>
        <w:spacing w:line="360" w:lineRule="auto"/>
        <w:jc w:val="both"/>
        <w:rPr>
          <w:rFonts w:asciiTheme="minorHAnsi" w:hAnsiTheme="minorHAnsi"/>
          <w:lang w:val="pt-PT"/>
        </w:rPr>
      </w:pPr>
      <w:proofErr w:type="gramStart"/>
      <w:r w:rsidRPr="00757872">
        <w:rPr>
          <w:rFonts w:asciiTheme="minorHAnsi" w:hAnsiTheme="minorHAnsi"/>
          <w:lang w:val="pt-PT"/>
        </w:rPr>
        <w:t>Link</w:t>
      </w:r>
      <w:proofErr w:type="gramEnd"/>
      <w:r w:rsidRPr="00757872">
        <w:rPr>
          <w:rFonts w:asciiTheme="minorHAnsi" w:hAnsiTheme="minorHAnsi"/>
          <w:lang w:val="pt-PT"/>
        </w:rPr>
        <w:t xml:space="preserve"> do artigo: </w:t>
      </w:r>
      <w:hyperlink r:id="rId4" w:history="1">
        <w:r w:rsidRPr="00757872">
          <w:rPr>
            <w:rStyle w:val="Hiperligao"/>
            <w:rFonts w:asciiTheme="minorHAnsi" w:hAnsiTheme="minorHAnsi"/>
            <w:lang w:val="pt-PT"/>
          </w:rPr>
          <w:t>http://link.springer.com/article/10.1007%2Fs12035-016-0155-1</w:t>
        </w:r>
      </w:hyperlink>
    </w:p>
    <w:p w:rsidR="00757872" w:rsidRPr="00757872" w:rsidRDefault="00757872" w:rsidP="00757872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757872" w:rsidRPr="00757872" w:rsidRDefault="00757872" w:rsidP="00757872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757872" w:rsidRPr="00757872" w:rsidRDefault="00757872" w:rsidP="00757872">
      <w:pPr>
        <w:spacing w:line="360" w:lineRule="auto"/>
        <w:jc w:val="both"/>
        <w:rPr>
          <w:rFonts w:asciiTheme="minorHAnsi" w:hAnsiTheme="minorHAnsi"/>
          <w:lang w:val="pt-PT"/>
        </w:rPr>
      </w:pPr>
      <w:r w:rsidRPr="00757872">
        <w:rPr>
          <w:rFonts w:asciiTheme="minorHAnsi" w:hAnsiTheme="minorHAnsi"/>
          <w:lang w:val="pt-PT"/>
        </w:rPr>
        <w:t>Cristina Pinto (Assessoria de Imprensa - Universidade de Coimbra)</w:t>
      </w:r>
    </w:p>
    <w:p w:rsidR="00757872" w:rsidRPr="00757872" w:rsidRDefault="00757872" w:rsidP="00757872">
      <w:pPr>
        <w:spacing w:line="360" w:lineRule="auto"/>
        <w:jc w:val="both"/>
        <w:rPr>
          <w:rFonts w:asciiTheme="minorHAnsi" w:hAnsiTheme="minorHAnsi"/>
          <w:lang w:val="pt-PT"/>
        </w:rPr>
      </w:pPr>
      <w:r w:rsidRPr="00757872">
        <w:rPr>
          <w:rFonts w:asciiTheme="minorHAnsi" w:hAnsiTheme="minorHAnsi"/>
          <w:lang w:val="pt-PT"/>
        </w:rPr>
        <w:t>Ciência na Imprensa Regional – Ciência Viva</w:t>
      </w:r>
    </w:p>
    <w:sectPr w:rsidR="00757872" w:rsidRPr="00757872" w:rsidSect="00C841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757872"/>
    <w:rsid w:val="00362D13"/>
    <w:rsid w:val="00757872"/>
    <w:rsid w:val="00943EA8"/>
    <w:rsid w:val="00C84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872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75787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nk.springer.com/article/10.1007%2Fs12035-016-0155-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3033</Characters>
  <Application>Microsoft Office Word</Application>
  <DocSecurity>0</DocSecurity>
  <Lines>25</Lines>
  <Paragraphs>7</Paragraphs>
  <ScaleCrop>false</ScaleCrop>
  <Company>PERSONAL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2</cp:revision>
  <dcterms:created xsi:type="dcterms:W3CDTF">2017-02-27T14:24:00Z</dcterms:created>
  <dcterms:modified xsi:type="dcterms:W3CDTF">2017-02-27T14:28:00Z</dcterms:modified>
</cp:coreProperties>
</file>