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524420" w:rsidRDefault="00524420">
      <w:pPr>
        <w:rPr>
          <w:rFonts w:cs="Arial"/>
          <w:b/>
          <w:bCs/>
          <w:color w:val="222222"/>
          <w:sz w:val="28"/>
          <w:szCs w:val="28"/>
          <w:shd w:val="clear" w:color="auto" w:fill="FFFFFF"/>
        </w:rPr>
      </w:pPr>
      <w:r w:rsidRPr="00524420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Identificado novo método para melhor prever início da época de gripe</w:t>
      </w:r>
    </w:p>
    <w:p w:rsidR="00524420" w:rsidRPr="00524420" w:rsidRDefault="00524420">
      <w:pPr>
        <w:rPr>
          <w:rFonts w:cs="Arial"/>
          <w:b/>
          <w:bCs/>
          <w:color w:val="222222"/>
          <w:sz w:val="24"/>
          <w:szCs w:val="24"/>
          <w:shd w:val="clear" w:color="auto" w:fill="FFFFFF"/>
        </w:rPr>
      </w:pPr>
    </w:p>
    <w:p w:rsidR="00524420" w:rsidRPr="00524420" w:rsidRDefault="00524420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524420">
        <w:rPr>
          <w:rStyle w:val="apple-converted-space"/>
          <w:rFonts w:cs="Arial"/>
          <w:color w:val="222222"/>
          <w:sz w:val="24"/>
          <w:szCs w:val="24"/>
          <w:shd w:val="clear" w:color="auto" w:fill="FFFFFF"/>
        </w:rPr>
        <w:t>U</w:t>
      </w:r>
      <w:r>
        <w:rPr>
          <w:rStyle w:val="apple-converted-space"/>
          <w:rFonts w:cs="Arial"/>
          <w:color w:val="222222"/>
          <w:sz w:val="24"/>
          <w:szCs w:val="24"/>
          <w:shd w:val="clear" w:color="auto" w:fill="FFFFFF"/>
        </w:rPr>
        <w:t>m</w:t>
      </w:r>
      <w:r w:rsidRPr="00524420">
        <w:rPr>
          <w:rFonts w:cs="Arial"/>
          <w:color w:val="222222"/>
          <w:sz w:val="24"/>
          <w:szCs w:val="24"/>
          <w:shd w:val="clear" w:color="auto" w:fill="FFFFFF"/>
        </w:rPr>
        <w:t xml:space="preserve"> novo método que permite identificar o início da epidemia da gripe antecipando em várias semanas os alertas oficiais atualmente existentes. Este método, em conjunto com o sistema de vigilância atual, pode vir a ajudar os serviços de saúde a antecipar, preparar e responder mais prontamente ao pico da gripe.</w:t>
      </w:r>
    </w:p>
    <w:p w:rsidR="00524420" w:rsidRPr="00524420" w:rsidRDefault="00524420">
      <w:pPr>
        <w:rPr>
          <w:rFonts w:cs="Arial"/>
          <w:color w:val="222222"/>
          <w:sz w:val="24"/>
          <w:szCs w:val="24"/>
          <w:shd w:val="clear" w:color="auto" w:fill="FFFFFF"/>
        </w:rPr>
      </w:pPr>
    </w:p>
    <w:p w:rsidR="00524420" w:rsidRPr="00524420" w:rsidRDefault="00524420" w:rsidP="005244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Durante a época de gripe, as urgências hospitalares ficam frequentemente sobrelotadas, com consequências negativas para o funcionamento dos serviços de saúde e o atendimento aos doentes. Um estudo do </w:t>
      </w:r>
      <w:hyperlink r:id="rId4" w:tgtFrame="_blank" w:history="1">
        <w:r w:rsidRPr="00524420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Instituto Gulbenkian de Ciência</w:t>
        </w:r>
      </w:hyperlink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 (IGC), liderado por </w:t>
      </w:r>
      <w:hyperlink r:id="rId5" w:tgtFrame="_blank" w:history="1">
        <w:r w:rsidRPr="00524420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Joana Gonçalves-Sá</w:t>
        </w:r>
      </w:hyperlink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, apresenta um novo método para identificar o início da epidemia, antecipando em várias semanas os alertas oficiais atualmente existentes. Este método, em conjunto com o sistema de vigilância atual, pode vir a ajudar os serviços de saúde a antecipar, preparar e responder mais prontamente ao pico da gripe. Este estudo foi agora publicado na revista científica </w:t>
      </w:r>
      <w:hyperlink r:id="rId6" w:anchor="abstract1" w:tgtFrame="_blank" w:history="1">
        <w:proofErr w:type="spellStart"/>
        <w:r w:rsidRPr="00524420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>PLoS</w:t>
        </w:r>
        <w:proofErr w:type="spellEnd"/>
        <w:r w:rsidRPr="00524420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 xml:space="preserve"> </w:t>
        </w:r>
        <w:proofErr w:type="spellStart"/>
        <w:r w:rsidRPr="00524420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>Computational</w:t>
        </w:r>
        <w:proofErr w:type="spellEnd"/>
        <w:r w:rsidRPr="00524420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 xml:space="preserve"> </w:t>
        </w:r>
        <w:proofErr w:type="spellStart"/>
        <w:r w:rsidRPr="00524420">
          <w:rPr>
            <w:rFonts w:eastAsia="Times New Roman" w:cs="Arial"/>
            <w:i/>
            <w:iCs/>
            <w:color w:val="1155CC"/>
            <w:sz w:val="24"/>
            <w:szCs w:val="24"/>
            <w:u w:val="single"/>
            <w:lang w:eastAsia="pt-PT"/>
          </w:rPr>
          <w:t>Biology</w:t>
        </w:r>
        <w:proofErr w:type="spellEnd"/>
      </w:hyperlink>
      <w:r w:rsidRPr="00524420">
        <w:rPr>
          <w:rFonts w:eastAsia="Times New Roman" w:cs="Arial"/>
          <w:color w:val="222222"/>
          <w:sz w:val="24"/>
          <w:szCs w:val="24"/>
          <w:lang w:eastAsia="pt-PT"/>
        </w:rPr>
        <w:t>.</w:t>
      </w:r>
    </w:p>
    <w:p w:rsidR="00524420" w:rsidRPr="00524420" w:rsidRDefault="00524420" w:rsidP="005244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Na Europa, o Centro Europeu de Controlo de Doenças é o organismo oficial responsável pela monitorização da gripe. Esta entidade emite relatórios semanais, com o número estimado de casos de gripe na população, baseados na informação recolhida por </w:t>
      </w:r>
      <w:proofErr w:type="gramStart"/>
      <w:r w:rsidRPr="00524420">
        <w:rPr>
          <w:rFonts w:eastAsia="Times New Roman" w:cs="Arial"/>
          <w:color w:val="222222"/>
          <w:sz w:val="24"/>
          <w:szCs w:val="24"/>
          <w:lang w:eastAsia="pt-PT"/>
        </w:rPr>
        <w:t>médicos sentinela</w:t>
      </w:r>
      <w:proofErr w:type="gramEnd"/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. Apesar de ser um mecanismo de vigilância muito eficiente, este sistema tem limitações conhecidas e leva a um inevitável atraso entre o início efetivo da epidemia sazonal e a sua deteção. O método desenvolvido pelo grupo de Joana Gonçalves-Sá tenta superar algumas das limitações dos mecanismos oficiais de vigilância e oferece uma identificação do início da gripe mais próxima do tempo real. Este método integra informações de diferentes fontes, nomeadamente as </w:t>
      </w:r>
      <w:proofErr w:type="gramStart"/>
      <w:r w:rsidRPr="00524420">
        <w:rPr>
          <w:rFonts w:eastAsia="Times New Roman" w:cs="Arial"/>
          <w:color w:val="222222"/>
          <w:sz w:val="24"/>
          <w:szCs w:val="24"/>
          <w:lang w:eastAsia="pt-PT"/>
        </w:rPr>
        <w:t>taxas</w:t>
      </w:r>
      <w:proofErr w:type="gramEnd"/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 oficiais de incidência de gripe, pesquisas no Google por termos relacionados com a gripe e o serviço telefónico de triagem Saúde 24. Esta informação é então utilizada para alimentar um modelo matemático e computacional que consegue identificar mudanças no número de casos, sinalizando o início da epidemia. A equipa de investigação analisou dados de vários países europeus e utilizou o seu novo método para mostrar que, pelo menos em 8 países - Bélgica, Espanha, Hungria, Irlanda, Itália, Noruega, República Checa e Portugal -, é possível antecipar os alertas oficiais em várias semanas. </w:t>
      </w:r>
    </w:p>
    <w:p w:rsidR="00524420" w:rsidRPr="00524420" w:rsidRDefault="00524420" w:rsidP="005244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24420">
        <w:rPr>
          <w:rFonts w:eastAsia="Times New Roman" w:cs="Arial"/>
          <w:color w:val="222222"/>
          <w:sz w:val="24"/>
          <w:szCs w:val="24"/>
          <w:lang w:eastAsia="pt-PT"/>
        </w:rPr>
        <w:t>Joana Gonçalves-Sá explica: "O nosso método tem duas vantagens principais. Primeiro, pode ser usado com uma diversidade de fontes de dados, algumas delas próximas do tempo real. Isto reduz os desvios na amostragem e os atrasos entre o início do surto e a sua deteção. Em segundo lugar, o sistema é suficientemente simples e robusto para ser usado pelas autoridades responsáveis. Basicamente</w:t>
      </w:r>
      <w:proofErr w:type="gramStart"/>
      <w:r w:rsidRPr="00524420">
        <w:rPr>
          <w:rFonts w:eastAsia="Times New Roman" w:cs="Arial"/>
          <w:color w:val="222222"/>
          <w:sz w:val="24"/>
          <w:szCs w:val="24"/>
          <w:lang w:eastAsia="pt-PT"/>
        </w:rPr>
        <w:t>,</w:t>
      </w:r>
      <w:proofErr w:type="gramEnd"/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 calcula a probabilidade da temporada de gripe ter começado. Quando esta probabilidade ultrapassa um determinado valor, os serviços de saúde devem começar a preparar-se para o pico.”</w:t>
      </w:r>
    </w:p>
    <w:p w:rsidR="00524420" w:rsidRPr="00524420" w:rsidRDefault="00524420" w:rsidP="005244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Os resultados do estudo mostram ainda que este sistema pode ser utilizado em diferentes países e, eventualmente, ser aplicado a outras doenças sazonais. A coordenadora do estudo acrescenta: “Acreditamos que com o nosso método, complementar ao atual sistema, os serviços de saúde pública podem melhorar significativamente a sua resposta ao surto de gripe, tanto antecipando o aprovisionamento das instalações de saúde, como reforçando os profissionais e  fornecendo melhores conselhos à população. Descrevemos também como </w:t>
      </w:r>
      <w:r w:rsidRPr="00524420">
        <w:rPr>
          <w:rFonts w:eastAsia="Times New Roman" w:cs="Arial"/>
          <w:color w:val="222222"/>
          <w:sz w:val="24"/>
          <w:szCs w:val="24"/>
          <w:lang w:eastAsia="pt-PT"/>
        </w:rPr>
        <w:lastRenderedPageBreak/>
        <w:t>serviços de triagem telefónica, como é o caso do Saúde 24, têm um potencial único que deve ser explorado: podem vir a tornar-se num sistema muito eficiente e de baixo custo para rastrear e antecipar epidemias."</w:t>
      </w:r>
    </w:p>
    <w:p w:rsidR="00524420" w:rsidRPr="00524420" w:rsidRDefault="00524420" w:rsidP="00524420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A gripe sazonal é uma doença </w:t>
      </w:r>
      <w:proofErr w:type="spellStart"/>
      <w:r w:rsidRPr="00524420">
        <w:rPr>
          <w:rFonts w:eastAsia="Times New Roman" w:cs="Arial"/>
          <w:color w:val="222222"/>
          <w:sz w:val="24"/>
          <w:szCs w:val="24"/>
          <w:lang w:eastAsia="pt-PT"/>
        </w:rPr>
        <w:t>infecciosa</w:t>
      </w:r>
      <w:proofErr w:type="spellEnd"/>
      <w:r w:rsidRPr="00524420">
        <w:rPr>
          <w:rFonts w:eastAsia="Times New Roman" w:cs="Arial"/>
          <w:color w:val="222222"/>
          <w:sz w:val="24"/>
          <w:szCs w:val="24"/>
          <w:lang w:eastAsia="pt-PT"/>
        </w:rPr>
        <w:t xml:space="preserve"> causando anualmente entre 3 a 5 milhões de casos de doença grave e até meio milhão de mortes, em todo o mundo.</w:t>
      </w:r>
    </w:p>
    <w:p w:rsidR="00524420" w:rsidRPr="00524420" w:rsidRDefault="00524420" w:rsidP="00524420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524420">
        <w:rPr>
          <w:rFonts w:eastAsia="Times New Roman" w:cs="Arial"/>
          <w:color w:val="222222"/>
          <w:sz w:val="24"/>
          <w:szCs w:val="24"/>
          <w:lang w:eastAsia="pt-PT"/>
        </w:rPr>
        <w:t>Este estudo foi desenvolvido no Instituto Gulbenkian de Ciência e financiado pela Fundação para a Ciência e a Tecnologia (FCT).</w:t>
      </w:r>
    </w:p>
    <w:p w:rsidR="00524420" w:rsidRPr="00524420" w:rsidRDefault="00524420" w:rsidP="00524420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524420" w:rsidRPr="00524420" w:rsidRDefault="00524420" w:rsidP="00524420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524420">
        <w:rPr>
          <w:rFonts w:eastAsia="Times New Roman" w:cs="Arial"/>
          <w:color w:val="222222"/>
          <w:sz w:val="24"/>
          <w:szCs w:val="24"/>
          <w:lang w:eastAsia="pt-PT"/>
        </w:rPr>
        <w:t>Referência do artigo:</w:t>
      </w:r>
    </w:p>
    <w:p w:rsidR="00524420" w:rsidRPr="00524420" w:rsidRDefault="00524420" w:rsidP="00524420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val="en-US" w:eastAsia="pt-PT"/>
        </w:rPr>
      </w:pPr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Won M, Marques-Pita M, </w:t>
      </w:r>
      <w:proofErr w:type="spellStart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>Louro</w:t>
      </w:r>
      <w:proofErr w:type="spellEnd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C, </w:t>
      </w:r>
      <w:proofErr w:type="spellStart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>Gonçalves-Sá</w:t>
      </w:r>
      <w:proofErr w:type="spellEnd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J (2017) Early and Real-Time Detection of Seasonal Influenza Onset. </w:t>
      </w:r>
      <w:proofErr w:type="spellStart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>PLoS</w:t>
      </w:r>
      <w:proofErr w:type="spellEnd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</w:t>
      </w:r>
      <w:proofErr w:type="spellStart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>Comput</w:t>
      </w:r>
      <w:proofErr w:type="spellEnd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</w:t>
      </w:r>
      <w:proofErr w:type="spellStart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>Biol</w:t>
      </w:r>
      <w:proofErr w:type="spellEnd"/>
      <w:r w:rsidRPr="00524420"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13(2): e1005330. </w:t>
      </w:r>
      <w:hyperlink r:id="rId7" w:tgtFrame="_blank" w:history="1">
        <w:r w:rsidRPr="00524420">
          <w:rPr>
            <w:rFonts w:eastAsia="Times New Roman" w:cs="Arial"/>
            <w:color w:val="1155CC"/>
            <w:sz w:val="24"/>
            <w:szCs w:val="24"/>
            <w:u w:val="single"/>
            <w:lang w:val="en-US" w:eastAsia="pt-PT"/>
          </w:rPr>
          <w:t>doi:10.1371/journal.pcbi.1005330</w:t>
        </w:r>
      </w:hyperlink>
    </w:p>
    <w:p w:rsidR="00524420" w:rsidRPr="00524420" w:rsidRDefault="00524420">
      <w:pPr>
        <w:rPr>
          <w:sz w:val="24"/>
          <w:szCs w:val="24"/>
          <w:lang w:val="en-US"/>
        </w:rPr>
      </w:pPr>
    </w:p>
    <w:p w:rsidR="00524420" w:rsidRPr="00524420" w:rsidRDefault="00524420">
      <w:pPr>
        <w:rPr>
          <w:rFonts w:cs="Arial"/>
          <w:color w:val="222222"/>
          <w:sz w:val="24"/>
          <w:szCs w:val="24"/>
          <w:shd w:val="clear" w:color="auto" w:fill="FFFFFF"/>
        </w:rPr>
      </w:pPr>
      <w:r w:rsidRPr="00524420">
        <w:rPr>
          <w:rFonts w:cs="Arial"/>
          <w:color w:val="222222"/>
          <w:sz w:val="24"/>
          <w:szCs w:val="24"/>
          <w:shd w:val="clear" w:color="auto" w:fill="FFFFFF"/>
        </w:rPr>
        <w:t>Ana Mena (Comunicação de Ciência - Instituto Gulbenkian de Ciência)</w:t>
      </w:r>
    </w:p>
    <w:p w:rsidR="00524420" w:rsidRPr="00524420" w:rsidRDefault="00524420" w:rsidP="00524420">
      <w:pPr>
        <w:tabs>
          <w:tab w:val="center" w:pos="4513"/>
        </w:tabs>
        <w:rPr>
          <w:rFonts w:cs="Arial"/>
          <w:color w:val="222222"/>
          <w:sz w:val="24"/>
          <w:szCs w:val="24"/>
          <w:shd w:val="clear" w:color="auto" w:fill="FFFFFF"/>
        </w:rPr>
      </w:pPr>
      <w:r w:rsidRPr="00524420">
        <w:rPr>
          <w:rFonts w:cs="Arial"/>
          <w:color w:val="222222"/>
          <w:sz w:val="24"/>
          <w:szCs w:val="24"/>
          <w:shd w:val="clear" w:color="auto" w:fill="FFFFFF"/>
        </w:rPr>
        <w:t>Ciência na Imprensa Regional – Ciência Viva</w:t>
      </w:r>
    </w:p>
    <w:sectPr w:rsidR="00524420" w:rsidRPr="00524420" w:rsidSect="00660B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characterSpacingControl w:val="doNotCompress"/>
  <w:compat/>
  <w:rsids>
    <w:rsidRoot w:val="00524420"/>
    <w:rsid w:val="00362D13"/>
    <w:rsid w:val="00524420"/>
    <w:rsid w:val="00660BFF"/>
    <w:rsid w:val="007520CE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F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24420"/>
  </w:style>
  <w:style w:type="character" w:styleId="Hiperligao">
    <w:name w:val="Hyperlink"/>
    <w:basedOn w:val="Tipodeletrapredefinidodopargrafo"/>
    <w:uiPriority w:val="99"/>
    <w:semiHidden/>
    <w:unhideWhenUsed/>
    <w:rsid w:val="005244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7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journals.plos.org/ploscompbiol/article?id=10.1371/journal.pcbi.1005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ournals.plos.org/ploscompbiol/article?id=10.1371/journal.pcbi.1005330" TargetMode="External"/><Relationship Id="rId5" Type="http://schemas.openxmlformats.org/officeDocument/2006/relationships/hyperlink" Target="http://wwwpt.igc.gulbenkian.pt/mjsa" TargetMode="External"/><Relationship Id="rId4" Type="http://schemas.openxmlformats.org/officeDocument/2006/relationships/hyperlink" Target="http://wwwpt.igc.gulbenkian.pt/pages/homepage.ph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723</Words>
  <Characters>3909</Characters>
  <Application>Microsoft Office Word</Application>
  <DocSecurity>0</DocSecurity>
  <Lines>32</Lines>
  <Paragraphs>9</Paragraphs>
  <ScaleCrop>false</ScaleCrop>
  <Company>PERSONAL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2017-02-08T15:13:00Z</dcterms:created>
  <dcterms:modified xsi:type="dcterms:W3CDTF">2017-02-08T15:21:00Z</dcterms:modified>
</cp:coreProperties>
</file>